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F110A" w14:textId="77777777" w:rsidR="00FA0298" w:rsidRPr="00C1669B" w:rsidRDefault="002C2738" w:rsidP="00C1669B">
      <w:pPr>
        <w:pStyle w:val="Title"/>
      </w:pPr>
      <w:sdt>
        <w:sdtPr>
          <w:alias w:val="Title"/>
          <w:tag w:val=""/>
          <w:id w:val="1573009851"/>
          <w:placeholder>
            <w:docPart w:val="22EE79C19EAB4BC491EA318D56CB0652"/>
          </w:placeholder>
          <w:dataBinding w:prefixMappings="xmlns:ns0='http://purl.org/dc/elements/1.1/' xmlns:ns1='http://schemas.openxmlformats.org/package/2006/metadata/core-properties' " w:xpath="/ns1:coreProperties[1]/ns0:title[1]" w:storeItemID="{6C3C8BC8-F283-45AE-878A-BAB7291924A1}"/>
          <w:text/>
        </w:sdtPr>
        <w:sdtContent>
          <w:r w:rsidR="00012889" w:rsidRPr="00012889">
            <w:t>EDR Response Guide</w:t>
          </w:r>
        </w:sdtContent>
      </w:sdt>
    </w:p>
    <w:p w14:paraId="285D650E" w14:textId="28BDCF8B" w:rsidR="00FA0298" w:rsidRDefault="00012889" w:rsidP="00FA0298">
      <w:pPr>
        <w:pStyle w:val="Subtitle"/>
      </w:pPr>
      <w:r w:rsidRPr="00012889">
        <w:t>Credit</w:t>
      </w:r>
      <w:r w:rsidR="00FD5CB0">
        <w:t xml:space="preserve"> enquiries</w:t>
      </w:r>
    </w:p>
    <w:p w14:paraId="21FA9B4F" w14:textId="014A485D" w:rsidR="00012889" w:rsidRDefault="00012889" w:rsidP="00012889">
      <w:r>
        <w:t xml:space="preserve">This guide has been prepared to assist financial firms in preparing a quality external dispute resolution (EDR) response for </w:t>
      </w:r>
      <w:r w:rsidR="002D3F7A">
        <w:t xml:space="preserve">complaints </w:t>
      </w:r>
      <w:r>
        <w:t xml:space="preserve">about credit </w:t>
      </w:r>
      <w:r w:rsidR="006017F2">
        <w:t>enquiries</w:t>
      </w:r>
      <w:r>
        <w:t xml:space="preserve">. This is a </w:t>
      </w:r>
      <w:r w:rsidRPr="00012889">
        <w:rPr>
          <w:b/>
        </w:rPr>
        <w:t>guide only</w:t>
      </w:r>
      <w:r w:rsidRPr="00012889">
        <w:t>.</w:t>
      </w:r>
    </w:p>
    <w:p w14:paraId="2624FBA5" w14:textId="77777777" w:rsidR="00012889" w:rsidRDefault="00012889" w:rsidP="00012889">
      <w:r>
        <w:t>It is important to note the following:</w:t>
      </w:r>
    </w:p>
    <w:p w14:paraId="73D6A987" w14:textId="77777777" w:rsidR="00012889" w:rsidRDefault="00012889" w:rsidP="00012889">
      <w:pPr>
        <w:pStyle w:val="ListBullet"/>
      </w:pPr>
      <w:r>
        <w:t>All issues raised in a complaint should be addressed. If there are multiple issues, please refer to the additional EDR response templates available or consider addressing them in a separate section, as it is important that all issues are addressed.</w:t>
      </w:r>
    </w:p>
    <w:p w14:paraId="0D328FEA" w14:textId="77777777" w:rsidR="00012889" w:rsidRDefault="00012889" w:rsidP="00012889">
      <w:pPr>
        <w:pStyle w:val="ListBullet"/>
      </w:pPr>
      <w:r>
        <w:t>This is your EDR response. As such it is to be sent to both AFCA and the complainant. It is to the benefit of all parties for the complainant to understand the reason for your position.</w:t>
      </w:r>
    </w:p>
    <w:p w14:paraId="67C7BED3" w14:textId="19C6D36E" w:rsidR="00012889" w:rsidRDefault="00012889" w:rsidP="00012889">
      <w:pPr>
        <w:pStyle w:val="ListBullet"/>
      </w:pPr>
      <w:r>
        <w:t>AFCA will generally seek more information if a complaint does not resolve at Registration &amp; Referral</w:t>
      </w:r>
      <w:r w:rsidR="00756504">
        <w:t>, and we</w:t>
      </w:r>
      <w:r>
        <w:t xml:space="preserve"> expect</w:t>
      </w:r>
      <w:r w:rsidR="00756504">
        <w:t xml:space="preserve"> a detailed</w:t>
      </w:r>
      <w:r>
        <w:t xml:space="preserve"> response to any subsequent requests for information.</w:t>
      </w:r>
    </w:p>
    <w:p w14:paraId="74F0950B" w14:textId="39EF07FA" w:rsidR="00104BD4" w:rsidRDefault="00104BD4" w:rsidP="00012889">
      <w:pPr>
        <w:pStyle w:val="ListBullet"/>
      </w:pPr>
      <w:r>
        <w:t>Providing a substanti</w:t>
      </w:r>
      <w:r w:rsidR="004C26C0">
        <w:t>ve</w:t>
      </w:r>
      <w:r>
        <w:t xml:space="preserve"> EDR response</w:t>
      </w:r>
      <w:r w:rsidR="004C26C0">
        <w:t xml:space="preserve"> </w:t>
      </w:r>
      <w:r>
        <w:t xml:space="preserve">to the </w:t>
      </w:r>
      <w:r w:rsidR="004C26C0">
        <w:t xml:space="preserve">credit enquiry </w:t>
      </w:r>
      <w:r>
        <w:t>complaint</w:t>
      </w:r>
      <w:r w:rsidR="004C26C0">
        <w:t xml:space="preserve"> with the supporting information outlined below</w:t>
      </w:r>
      <w:r w:rsidR="003E6ECA">
        <w:t xml:space="preserve"> will assist AFCA in providing a timely and fair outcome.</w:t>
      </w:r>
    </w:p>
    <w:p w14:paraId="4C92B285" w14:textId="77777777" w:rsidR="00012889" w:rsidRDefault="00012889" w:rsidP="00012889">
      <w:r>
        <w:t>This guide may change over the time to reflect any feedback.</w:t>
      </w:r>
    </w:p>
    <w:p w14:paraId="32D764F8" w14:textId="7BA9ECEA" w:rsidR="00012889" w:rsidRDefault="00012889" w:rsidP="00012889">
      <w:r>
        <w:t xml:space="preserve">To ensure a comprehensive response for credit </w:t>
      </w:r>
      <w:r w:rsidR="00104BD4">
        <w:t xml:space="preserve">enquiry </w:t>
      </w:r>
      <w:r>
        <w:t>complaints, an EDR response should include the sections outlined below.</w:t>
      </w:r>
    </w:p>
    <w:p w14:paraId="0C4950F8" w14:textId="77777777" w:rsidR="00012889" w:rsidRDefault="00012889" w:rsidP="00012889">
      <w:pPr>
        <w:pStyle w:val="Heading2"/>
      </w:pPr>
      <w:r>
        <w:t>Dispute details</w:t>
      </w:r>
    </w:p>
    <w:p w14:paraId="73B3E985" w14:textId="77777777" w:rsidR="00012889" w:rsidRDefault="00012889" w:rsidP="00012889">
      <w:r>
        <w:t>Name of the complainant(s): [consumer or business name]</w:t>
      </w:r>
    </w:p>
    <w:p w14:paraId="581292B1" w14:textId="77777777" w:rsidR="00012889" w:rsidRDefault="00012889" w:rsidP="00012889">
      <w:r>
        <w:t>Name of the financial firm:</w:t>
      </w:r>
    </w:p>
    <w:p w14:paraId="5B928869" w14:textId="77777777" w:rsidR="00012889" w:rsidRDefault="00012889" w:rsidP="00012889">
      <w:r>
        <w:t xml:space="preserve">Financial firm reference: </w:t>
      </w:r>
    </w:p>
    <w:p w14:paraId="1F880481" w14:textId="77777777" w:rsidR="00012889" w:rsidRDefault="00012889" w:rsidP="00012889">
      <w:r>
        <w:t xml:space="preserve">AFCA reference: </w:t>
      </w:r>
    </w:p>
    <w:p w14:paraId="402192F8" w14:textId="77777777" w:rsidR="00012889" w:rsidRDefault="00012889" w:rsidP="00012889"/>
    <w:p w14:paraId="77E55329" w14:textId="0F042333" w:rsidR="00012889" w:rsidRDefault="00012889" w:rsidP="00012889"/>
    <w:p w14:paraId="33B43E89" w14:textId="77777777" w:rsidR="00012889" w:rsidRDefault="00012889" w:rsidP="00012889">
      <w:pPr>
        <w:pStyle w:val="Heading2"/>
      </w:pPr>
      <w:r>
        <w:lastRenderedPageBreak/>
        <w:t>Summary of complaint</w:t>
      </w:r>
    </w:p>
    <w:p w14:paraId="0DBD13C8" w14:textId="6ACE6336" w:rsidR="00012889" w:rsidRDefault="00012889" w:rsidP="003337E4">
      <w:r>
        <w:t xml:space="preserve">Summarise all issues raised by the complainant: [include necessary background information] </w:t>
      </w:r>
    </w:p>
    <w:p w14:paraId="29AC9562" w14:textId="77777777" w:rsidR="00012889" w:rsidRDefault="00012889" w:rsidP="003337E4">
      <w:r>
        <w:t>If the financial firm has taken steps to attempt to resolve include details: (e</w:t>
      </w:r>
      <w:r w:rsidR="00063DF6">
        <w:t>.</w:t>
      </w:r>
      <w:r>
        <w:t>g</w:t>
      </w:r>
      <w:r w:rsidR="00063DF6">
        <w:t>.</w:t>
      </w:r>
      <w:r>
        <w:t>, the financial firm provided a response to the complainant, offering to [         ]. The complainant rejected the offer and said [         ].)</w:t>
      </w:r>
    </w:p>
    <w:p w14:paraId="5CEB8D24" w14:textId="77777777" w:rsidR="00012889" w:rsidRDefault="00012889" w:rsidP="00012889">
      <w:pPr>
        <w:pStyle w:val="Heading2"/>
      </w:pPr>
      <w:r>
        <w:t>Financial firm’s position</w:t>
      </w:r>
    </w:p>
    <w:p w14:paraId="5392954A" w14:textId="2F012CC0" w:rsidR="00012889" w:rsidRDefault="00012889" w:rsidP="003337E4">
      <w:r>
        <w:t xml:space="preserve">Outline how you have considered </w:t>
      </w:r>
      <w:r w:rsidR="00756504">
        <w:t>all</w:t>
      </w:r>
      <w:r>
        <w:t xml:space="preserve"> the issues raised in the complaint and set out the reasons for your position, noting what information you have considered to reach this view. It is important you consider your obligations and whether you have met them. </w:t>
      </w:r>
    </w:p>
    <w:p w14:paraId="5B1E91EC" w14:textId="79116FC1" w:rsidR="003E6ECA" w:rsidRDefault="003E6ECA" w:rsidP="003337E4">
      <w:r>
        <w:t>If a complainant (or their representative):</w:t>
      </w:r>
    </w:p>
    <w:p w14:paraId="1E4D0755" w14:textId="310A081E" w:rsidR="003E6ECA" w:rsidRDefault="003E6ECA" w:rsidP="00CE79EB">
      <w:pPr>
        <w:pStyle w:val="ListBullet2"/>
      </w:pPr>
      <w:r>
        <w:t xml:space="preserve">appears to </w:t>
      </w:r>
      <w:r w:rsidR="00012889">
        <w:t xml:space="preserve">have </w:t>
      </w:r>
      <w:r w:rsidR="005A056B">
        <w:t>little</w:t>
      </w:r>
      <w:r w:rsidR="00012889">
        <w:t xml:space="preserve"> understanding of the financial firm’s obligations and/or why a</w:t>
      </w:r>
      <w:r w:rsidR="00182AED">
        <w:t>n enquiry</w:t>
      </w:r>
      <w:r w:rsidR="00012889">
        <w:t xml:space="preserve"> has been made, it </w:t>
      </w:r>
      <w:r>
        <w:t>is helpful</w:t>
      </w:r>
      <w:r w:rsidR="00012889">
        <w:t xml:space="preserve"> to provide a narrative response, outlining what has happened, and if you have acted in accordance with the relevant legislation</w:t>
      </w:r>
      <w:r>
        <w:t>, privacy policy and codes</w:t>
      </w:r>
      <w:r w:rsidR="002C2738">
        <w:t xml:space="preserve"> (and if so, why)</w:t>
      </w:r>
    </w:p>
    <w:p w14:paraId="141D58B7" w14:textId="36FD5EE4" w:rsidR="002C2738" w:rsidRDefault="002C2738" w:rsidP="002C2738">
      <w:pPr>
        <w:pStyle w:val="ListBullet2"/>
      </w:pPr>
      <w:r>
        <w:t>has raised a specific issue(s) with an aspect of the legislation, privacy policy and/or code, you should outline your response to the specific issue(s) raised.</w:t>
      </w:r>
    </w:p>
    <w:p w14:paraId="18F29315" w14:textId="77777777" w:rsidR="002C2738" w:rsidRDefault="002C2738" w:rsidP="002C2738">
      <w:pPr>
        <w:pStyle w:val="ListBullet"/>
        <w:numPr>
          <w:ilvl w:val="0"/>
          <w:numId w:val="0"/>
        </w:numPr>
        <w:ind w:left="284" w:hanging="284"/>
        <w:contextualSpacing w:val="0"/>
      </w:pPr>
      <w:r>
        <w:t>The financial firm has an obligation to show:</w:t>
      </w:r>
    </w:p>
    <w:p w14:paraId="7066E220" w14:textId="77777777" w:rsidR="002C2738" w:rsidRPr="00BB394F" w:rsidRDefault="002C2738" w:rsidP="002C2738">
      <w:pPr>
        <w:pStyle w:val="ListBullet"/>
      </w:pPr>
      <w:r w:rsidRPr="00BB394F">
        <w:t xml:space="preserve">the complainant made, or authorised the making of, the credit application and </w:t>
      </w:r>
    </w:p>
    <w:p w14:paraId="2F8A86EC" w14:textId="194BE229" w:rsidR="002C2738" w:rsidRDefault="002C2738" w:rsidP="002C2738">
      <w:pPr>
        <w:pStyle w:val="ListBullet"/>
      </w:pPr>
      <w:r w:rsidRPr="00BB394F">
        <w:t xml:space="preserve">the financial firm notified </w:t>
      </w:r>
      <w:r>
        <w:t xml:space="preserve">the complainant </w:t>
      </w:r>
      <w:r w:rsidRPr="00BB394F">
        <w:t>that it would disclose to a credit reporting body that the complainant had applied for credit and that the credit reporting body would include this information as part of the complainant’s credit report (or words to that effect) when</w:t>
      </w:r>
      <w:r>
        <w:t xml:space="preserve"> making the credit application.</w:t>
      </w:r>
    </w:p>
    <w:p w14:paraId="7C2C6507" w14:textId="77777777" w:rsidR="002C2738" w:rsidRDefault="002C2738" w:rsidP="002C2738">
      <w:pPr>
        <w:pStyle w:val="Heading2"/>
      </w:pPr>
      <w:r>
        <w:t>Complainant’s response(optional)</w:t>
      </w:r>
    </w:p>
    <w:p w14:paraId="4E2CACD0" w14:textId="77777777" w:rsidR="002C2738" w:rsidRDefault="002C2738" w:rsidP="002C2738">
      <w:r>
        <w:t>[If necessary, outline the complainant’s response to the financial firm’s position].</w:t>
      </w:r>
    </w:p>
    <w:p w14:paraId="22EE775D" w14:textId="77777777" w:rsidR="002C2738" w:rsidRDefault="002C2738" w:rsidP="002C2738">
      <w:pPr>
        <w:pStyle w:val="Heading2"/>
      </w:pPr>
      <w:r>
        <w:t>Jurisdictional issues</w:t>
      </w:r>
    </w:p>
    <w:p w14:paraId="3165EF6C" w14:textId="77777777" w:rsidR="002C2738" w:rsidRDefault="002C2738" w:rsidP="002C2738">
      <w:r>
        <w:t xml:space="preserve">Include the details of any jurisdictional issues you wish to raise. Ensure you refer to the AFCA Operational Guidelines and any relevant approach documents. </w:t>
      </w:r>
    </w:p>
    <w:p w14:paraId="2E9EC466" w14:textId="77777777" w:rsidR="002C2738" w:rsidRPr="00B97BB1" w:rsidRDefault="002C2738" w:rsidP="002C2738">
      <w:r>
        <w:t xml:space="preserve">Full details of the section of the AFCA Rules you are seeking to rely on must be included to ensure that AFCA and the complainant understand the jurisdictional issue(s) being raised. </w:t>
      </w:r>
    </w:p>
    <w:p w14:paraId="1BE13F72" w14:textId="77777777" w:rsidR="002C2738" w:rsidRDefault="002C2738" w:rsidP="002C2738">
      <w:pPr>
        <w:pStyle w:val="Heading2"/>
        <w:spacing w:before="0" w:after="0" w:line="360" w:lineRule="auto"/>
      </w:pPr>
      <w:r>
        <w:lastRenderedPageBreak/>
        <w:t>Proposals to resolve the complaint</w:t>
      </w:r>
    </w:p>
    <w:p w14:paraId="2B4BA958" w14:textId="77777777" w:rsidR="002C2738" w:rsidRDefault="002C2738" w:rsidP="002C2738">
      <w:r>
        <w:t>Set out any action the financial firm is willing to take or accept to resolve the complaint.</w:t>
      </w:r>
    </w:p>
    <w:p w14:paraId="10AC5FE6" w14:textId="77777777" w:rsidR="002C2738" w:rsidRDefault="002C2738" w:rsidP="002C2738">
      <w:r>
        <w:t>[If you require further information before you can offer a resolution, please provide details of what information is required].</w:t>
      </w:r>
    </w:p>
    <w:p w14:paraId="3FE7C69B" w14:textId="77777777" w:rsidR="002C2738" w:rsidRPr="00C738A8" w:rsidRDefault="002C2738" w:rsidP="002C2738">
      <w:pPr>
        <w:pStyle w:val="Heading2"/>
      </w:pPr>
      <w:r>
        <w:t>Supporting information</w:t>
      </w:r>
    </w:p>
    <w:p w14:paraId="39BB1029" w14:textId="77777777" w:rsidR="002C2738" w:rsidRDefault="002C2738" w:rsidP="002C2738">
      <w:r>
        <w:t>Provide a list of all the supporting information included with your response. For a complaint about a credit enquiry, the information set out below is usually required.</w:t>
      </w:r>
    </w:p>
    <w:p w14:paraId="5867C54B" w14:textId="77777777" w:rsidR="002C2738" w:rsidRDefault="002C2738" w:rsidP="002C2738">
      <w:r>
        <w:t xml:space="preserve">Information relevant to the date of the credit application(s) must be provided, not information as at the current date.  For example, if the financial firm made its credit enquiry on 28 June 2017, we will require the process and privacy documentation current as at 28 June 2017. </w:t>
      </w:r>
    </w:p>
    <w:p w14:paraId="2008A444" w14:textId="77777777" w:rsidR="002C2738" w:rsidRDefault="002C2738" w:rsidP="002C2738">
      <w:r>
        <w:t xml:space="preserve">The financial firm should consider retaining this information in a single ‘library’ or database, which records the date of that information. This may assist the financial firm to provide AFCA the relevant documentation current at the time of the dispute in a timely way. </w:t>
      </w:r>
    </w:p>
    <w:p w14:paraId="06928C43" w14:textId="77777777" w:rsidR="002C2738" w:rsidRDefault="002C2738" w:rsidP="002C2738">
      <w:pPr>
        <w:rPr>
          <w:i/>
          <w:iCs/>
        </w:rPr>
      </w:pPr>
      <w:r>
        <w:rPr>
          <w:i/>
          <w:iCs/>
        </w:rPr>
        <w:t>For all applications which resulted in an account being open (and if relevant to the circumstances of the case)</w:t>
      </w:r>
    </w:p>
    <w:p w14:paraId="3F1BABB9" w14:textId="77777777" w:rsidR="002C2738" w:rsidRPr="002C2738" w:rsidRDefault="002C2738" w:rsidP="002C2738">
      <w:pPr>
        <w:pStyle w:val="ListBullet"/>
      </w:pPr>
      <w:r w:rsidRPr="002C2738">
        <w:t xml:space="preserve">Credit contract </w:t>
      </w:r>
    </w:p>
    <w:p w14:paraId="2397B9B1" w14:textId="77777777" w:rsidR="002C2738" w:rsidRPr="002C2738" w:rsidRDefault="002C2738" w:rsidP="002C2738">
      <w:pPr>
        <w:pStyle w:val="ListBullet"/>
      </w:pPr>
      <w:r w:rsidRPr="002C2738">
        <w:t xml:space="preserve">Recent account statements </w:t>
      </w:r>
    </w:p>
    <w:p w14:paraId="0EBB7AD8" w14:textId="77777777" w:rsidR="002C2738" w:rsidRDefault="002C2738" w:rsidP="002C2738">
      <w:pPr>
        <w:pStyle w:val="ListBullet"/>
        <w:numPr>
          <w:ilvl w:val="0"/>
          <w:numId w:val="0"/>
        </w:numPr>
        <w:ind w:left="284"/>
      </w:pPr>
    </w:p>
    <w:p w14:paraId="49646525" w14:textId="77777777" w:rsidR="002C2738" w:rsidRPr="00BB394F" w:rsidRDefault="002C2738" w:rsidP="002C2738">
      <w:pPr>
        <w:pStyle w:val="ListBullet"/>
        <w:numPr>
          <w:ilvl w:val="0"/>
          <w:numId w:val="0"/>
        </w:numPr>
        <w:ind w:left="284"/>
        <w:rPr>
          <w:sz w:val="22"/>
          <w:szCs w:val="22"/>
        </w:rPr>
      </w:pPr>
      <w:r>
        <w:rPr>
          <w:sz w:val="22"/>
          <w:szCs w:val="22"/>
        </w:rPr>
        <w:t xml:space="preserve">There may be some circumstances in which this is not relevant – for instance, where the complainant acknowledges applying for the loan but claims they were not notified about information being shared with the CRB. </w:t>
      </w:r>
    </w:p>
    <w:p w14:paraId="2B890A85" w14:textId="77777777" w:rsidR="002C2738" w:rsidRDefault="002C2738" w:rsidP="002C2738">
      <w:pPr>
        <w:rPr>
          <w:i/>
          <w:iCs/>
        </w:rPr>
      </w:pPr>
      <w:r>
        <w:rPr>
          <w:i/>
          <w:iCs/>
        </w:rPr>
        <w:t>For applications submitted online</w:t>
      </w:r>
    </w:p>
    <w:p w14:paraId="43654E22" w14:textId="77777777" w:rsidR="002C2738" w:rsidRPr="002C2738" w:rsidRDefault="002C2738" w:rsidP="002C2738">
      <w:pPr>
        <w:pStyle w:val="ListBullet"/>
      </w:pPr>
      <w:r w:rsidRPr="002C2738">
        <w:t>A full copy of the application form (either as a series of screen shots current as at the time of the application/ responses or in a single form, depending on how the financial firm retains this information)</w:t>
      </w:r>
    </w:p>
    <w:p w14:paraId="20734293" w14:textId="103E3A24" w:rsidR="002C2738" w:rsidRPr="002C2738" w:rsidRDefault="002C2738" w:rsidP="002C2738">
      <w:pPr>
        <w:pStyle w:val="ListBullet"/>
      </w:pPr>
      <w:r w:rsidRPr="002C2738">
        <w:t xml:space="preserve">The dated notification provided to the complainant which meets the financial firm’s notification obligations under section 21C of the Privacy Act and paragraph 4.1 of the Privacy </w:t>
      </w:r>
      <w:r w:rsidR="00F03D69">
        <w:t xml:space="preserve">(Credit Reporting) Code (Code) </w:t>
      </w:r>
      <w:r w:rsidRPr="002C2738">
        <w:t>or 4.2 of the Code. (notification requirements information)</w:t>
      </w:r>
    </w:p>
    <w:p w14:paraId="2DBD7C67" w14:textId="77777777" w:rsidR="002C2738" w:rsidRDefault="002C2738" w:rsidP="002C2738">
      <w:pPr>
        <w:pStyle w:val="ListBullet"/>
      </w:pPr>
      <w:r w:rsidRPr="002C2738">
        <w:t xml:space="preserve">Information to show the credit application could not continue without the complainant acknowledging the notification requirements information. This could take the form either of a screenshot of the contemporaneous online application </w:t>
      </w:r>
      <w:r w:rsidRPr="002C2738">
        <w:lastRenderedPageBreak/>
        <w:t xml:space="preserve">process, or (where a screenshot is not available), information that establishes the required notifications were made at the time. </w:t>
      </w:r>
    </w:p>
    <w:p w14:paraId="6F92628B" w14:textId="6390313A" w:rsidR="002C2738" w:rsidRPr="0006142E" w:rsidRDefault="002C2738" w:rsidP="002C2738">
      <w:pPr>
        <w:pStyle w:val="ListBullet"/>
      </w:pPr>
      <w:r>
        <w:t>Policy and procedures for processing applications (current as at the time of the application).</w:t>
      </w:r>
    </w:p>
    <w:p w14:paraId="5DDB6D59" w14:textId="77777777" w:rsidR="002C2738" w:rsidRDefault="002C2738" w:rsidP="002C2738">
      <w:pPr>
        <w:rPr>
          <w:i/>
          <w:iCs/>
        </w:rPr>
      </w:pPr>
      <w:r>
        <w:rPr>
          <w:i/>
          <w:iCs/>
        </w:rPr>
        <w:t>For applications submitted in person (branch or retail partner)</w:t>
      </w:r>
    </w:p>
    <w:p w14:paraId="45FEE8A4" w14:textId="77777777" w:rsidR="002C2738" w:rsidRPr="002C2738" w:rsidRDefault="002C2738" w:rsidP="002C2738">
      <w:pPr>
        <w:pStyle w:val="ListBullet"/>
      </w:pPr>
      <w:r w:rsidRPr="002C2738">
        <w:t>A full copy of the signed and dated application form</w:t>
      </w:r>
    </w:p>
    <w:p w14:paraId="5F2FB856" w14:textId="77777777" w:rsidR="002C2738" w:rsidRPr="002C2738" w:rsidRDefault="002C2738" w:rsidP="002C2738">
      <w:pPr>
        <w:pStyle w:val="ListBullet"/>
      </w:pPr>
      <w:r w:rsidRPr="002C2738">
        <w:t>The information and supporting documents to show the financial firm gave the complainant the information required to meet its notification obligations at the time of the application.</w:t>
      </w:r>
    </w:p>
    <w:p w14:paraId="44BFB680" w14:textId="77777777" w:rsidR="002C2738" w:rsidRPr="002C2738" w:rsidRDefault="002C2738" w:rsidP="002C2738">
      <w:pPr>
        <w:pStyle w:val="ListBullet"/>
      </w:pPr>
      <w:r w:rsidRPr="002C2738">
        <w:t>Contact notes</w:t>
      </w:r>
    </w:p>
    <w:p w14:paraId="09C91EA0" w14:textId="77777777" w:rsidR="002C2738" w:rsidRPr="002C2738" w:rsidRDefault="002C2738" w:rsidP="002C2738">
      <w:pPr>
        <w:pStyle w:val="ListBullet"/>
      </w:pPr>
      <w:r w:rsidRPr="002C2738">
        <w:t>Policy and procedures for processing applications (current as at the time of the application).</w:t>
      </w:r>
    </w:p>
    <w:p w14:paraId="03A8969A" w14:textId="77777777" w:rsidR="002C2738" w:rsidRDefault="002C2738" w:rsidP="002C2738">
      <w:pPr>
        <w:rPr>
          <w:i/>
          <w:iCs/>
        </w:rPr>
      </w:pPr>
      <w:r>
        <w:rPr>
          <w:i/>
          <w:iCs/>
        </w:rPr>
        <w:t xml:space="preserve">For applications submitted by a broker </w:t>
      </w:r>
    </w:p>
    <w:p w14:paraId="75A64771" w14:textId="77777777" w:rsidR="002C2738" w:rsidRPr="002C2738" w:rsidRDefault="002C2738" w:rsidP="002C2738">
      <w:pPr>
        <w:pStyle w:val="ListBullet"/>
      </w:pPr>
      <w:r w:rsidRPr="002C2738">
        <w:t>A full copy of the signed application form</w:t>
      </w:r>
    </w:p>
    <w:p w14:paraId="070FAE6B" w14:textId="77777777" w:rsidR="002C2738" w:rsidRPr="002C2738" w:rsidRDefault="002C2738" w:rsidP="002C2738">
      <w:pPr>
        <w:pStyle w:val="ListBullet"/>
      </w:pPr>
      <w:r w:rsidRPr="002C2738">
        <w:t>Information and supporting documents to show the financial firm or broker gave the complainant the information required to meet the financial firm’s notification obligations.</w:t>
      </w:r>
    </w:p>
    <w:p w14:paraId="7FA2F5CA" w14:textId="77777777" w:rsidR="002C2738" w:rsidRPr="002C2738" w:rsidRDefault="002C2738" w:rsidP="002C2738">
      <w:pPr>
        <w:pStyle w:val="ListBullet"/>
      </w:pPr>
      <w:r w:rsidRPr="002C2738">
        <w:t xml:space="preserve">Broker notes </w:t>
      </w:r>
    </w:p>
    <w:p w14:paraId="29BC4C0E" w14:textId="77777777" w:rsidR="002C2738" w:rsidRPr="002C2738" w:rsidRDefault="002C2738" w:rsidP="002C2738">
      <w:pPr>
        <w:pStyle w:val="ListBullet"/>
      </w:pPr>
      <w:r w:rsidRPr="002C2738">
        <w:t>Policy and procedures for processing applications by brokers (current as at the time of the application).</w:t>
      </w:r>
    </w:p>
    <w:p w14:paraId="37BE90B9" w14:textId="77777777" w:rsidR="002C2738" w:rsidRDefault="002C2738" w:rsidP="002C2738">
      <w:pPr>
        <w:rPr>
          <w:i/>
          <w:iCs/>
        </w:rPr>
      </w:pPr>
      <w:r>
        <w:rPr>
          <w:i/>
          <w:iCs/>
        </w:rPr>
        <w:t>Where the complainant says they did not make the application</w:t>
      </w:r>
    </w:p>
    <w:p w14:paraId="24C2E8AB" w14:textId="77777777" w:rsidR="002C2738" w:rsidRPr="002C2738" w:rsidRDefault="002C2738" w:rsidP="002C2738">
      <w:pPr>
        <w:pStyle w:val="ListBullet"/>
      </w:pPr>
      <w:r w:rsidRPr="002C2738">
        <w:t xml:space="preserve">Any identification documents received with the application </w:t>
      </w:r>
    </w:p>
    <w:p w14:paraId="6464AB54" w14:textId="77777777" w:rsidR="002C2738" w:rsidRDefault="002C2738" w:rsidP="002C2738">
      <w:pPr>
        <w:pStyle w:val="ListBullet"/>
      </w:pPr>
      <w:r w:rsidRPr="002C2738">
        <w:t>Any other information showing that the complainant made the application</w:t>
      </w:r>
      <w:r>
        <w:t>.</w:t>
      </w:r>
    </w:p>
    <w:p w14:paraId="050DB319" w14:textId="77777777" w:rsidR="002C2738" w:rsidRDefault="002C2738" w:rsidP="002C2738">
      <w:r>
        <w:t>If other issues are raised, you may wish to refer to the range of resources offered in the member resources section of the Secure Services portal. These include other EDR response guides, specific complaint topic guides and the Complaint Information Documentation guide.</w:t>
      </w:r>
    </w:p>
    <w:p w14:paraId="799C8A0A" w14:textId="77777777" w:rsidR="002C2738" w:rsidRDefault="002C2738" w:rsidP="002C2738">
      <w:pPr>
        <w:pStyle w:val="Heading2"/>
      </w:pPr>
      <w:r>
        <w:t xml:space="preserve">Privacy Act and Privacy (Credit Reporting) Code </w:t>
      </w:r>
    </w:p>
    <w:p w14:paraId="0568982C" w14:textId="77777777" w:rsidR="002C2738" w:rsidRDefault="002C2738" w:rsidP="002C2738">
      <w:r>
        <w:t>The table below sets out the matters of the Privacy Act and the Privacy (Credit Reporting) Code requiring that a financial firm should generally disclose:</w:t>
      </w:r>
      <w:bookmarkStart w:id="0" w:name="_GoBack"/>
      <w:bookmarkEnd w:id="0"/>
    </w:p>
    <w:tbl>
      <w:tblPr>
        <w:tblStyle w:val="Defaulttable"/>
        <w:tblW w:w="4986" w:type="pct"/>
        <w:tblLayout w:type="fixed"/>
        <w:tblCellMar>
          <w:top w:w="57" w:type="dxa"/>
          <w:left w:w="57" w:type="dxa"/>
          <w:bottom w:w="57" w:type="dxa"/>
          <w:right w:w="57" w:type="dxa"/>
        </w:tblCellMar>
        <w:tblLook w:val="0520" w:firstRow="1" w:lastRow="0" w:firstColumn="0" w:lastColumn="1" w:noHBand="0" w:noVBand="1"/>
      </w:tblPr>
      <w:tblGrid>
        <w:gridCol w:w="990"/>
        <w:gridCol w:w="1131"/>
        <w:gridCol w:w="6502"/>
        <w:gridCol w:w="479"/>
      </w:tblGrid>
      <w:tr w:rsidR="002C2738" w:rsidRPr="00123985" w14:paraId="1D40E7EE" w14:textId="77777777" w:rsidTr="002C2738">
        <w:trPr>
          <w:cnfStyle w:val="100000000000" w:firstRow="1" w:lastRow="0" w:firstColumn="0" w:lastColumn="0" w:oddVBand="0" w:evenVBand="0" w:oddHBand="0" w:evenHBand="0" w:firstRowFirstColumn="0" w:firstRowLastColumn="0" w:lastRowFirstColumn="0" w:lastRowLastColumn="0"/>
          <w:trHeight w:val="1047"/>
        </w:trPr>
        <w:tc>
          <w:tcPr>
            <w:tcW w:w="990" w:type="dxa"/>
          </w:tcPr>
          <w:p w14:paraId="18A29140" w14:textId="77777777" w:rsidR="002C2738" w:rsidRPr="007E11B9" w:rsidRDefault="002C2738" w:rsidP="002C2738">
            <w:pPr>
              <w:spacing w:before="0" w:after="0"/>
              <w:rPr>
                <w:szCs w:val="20"/>
              </w:rPr>
            </w:pPr>
            <w:r w:rsidRPr="007E11B9">
              <w:rPr>
                <w:szCs w:val="20"/>
              </w:rPr>
              <w:lastRenderedPageBreak/>
              <w:t>Privacy Act</w:t>
            </w:r>
          </w:p>
        </w:tc>
        <w:tc>
          <w:tcPr>
            <w:tcW w:w="1131" w:type="dxa"/>
          </w:tcPr>
          <w:p w14:paraId="2FAAFFBF" w14:textId="77777777" w:rsidR="002C2738" w:rsidRPr="007E11B9" w:rsidRDefault="002C2738" w:rsidP="002C2738">
            <w:pPr>
              <w:spacing w:before="0" w:after="0"/>
              <w:rPr>
                <w:szCs w:val="20"/>
              </w:rPr>
            </w:pPr>
            <w:bookmarkStart w:id="1" w:name="_Hlk528396499"/>
            <w:r>
              <w:rPr>
                <w:szCs w:val="20"/>
              </w:rPr>
              <w:t>Privacy (</w:t>
            </w:r>
            <w:r w:rsidRPr="007E11B9">
              <w:rPr>
                <w:szCs w:val="20"/>
              </w:rPr>
              <w:t>Credit Reporting</w:t>
            </w:r>
            <w:r>
              <w:rPr>
                <w:szCs w:val="20"/>
              </w:rPr>
              <w:t>)</w:t>
            </w:r>
            <w:r w:rsidRPr="007E11B9">
              <w:rPr>
                <w:szCs w:val="20"/>
              </w:rPr>
              <w:t xml:space="preserve"> Code </w:t>
            </w:r>
          </w:p>
        </w:tc>
        <w:tc>
          <w:tcPr>
            <w:tcW w:w="6503" w:type="dxa"/>
          </w:tcPr>
          <w:p w14:paraId="4E21FE67" w14:textId="77777777" w:rsidR="002C2738" w:rsidRPr="007E11B9" w:rsidRDefault="002C2738" w:rsidP="002C2738">
            <w:pPr>
              <w:spacing w:before="0" w:after="0"/>
              <w:rPr>
                <w:szCs w:val="20"/>
              </w:rPr>
            </w:pPr>
            <w:r w:rsidRPr="007E11B9">
              <w:rPr>
                <w:szCs w:val="20"/>
              </w:rPr>
              <w:t>Requirement</w:t>
            </w:r>
          </w:p>
        </w:tc>
        <w:tc>
          <w:tcPr>
            <w:cnfStyle w:val="000100000000" w:firstRow="0" w:lastRow="0" w:firstColumn="0" w:lastColumn="1" w:oddVBand="0" w:evenVBand="0" w:oddHBand="0" w:evenHBand="0" w:firstRowFirstColumn="0" w:firstRowLastColumn="0" w:lastRowFirstColumn="0" w:lastRowLastColumn="0"/>
            <w:tcW w:w="479" w:type="dxa"/>
          </w:tcPr>
          <w:p w14:paraId="0929A238" w14:textId="77777777" w:rsidR="002C2738" w:rsidRPr="007E11B9" w:rsidRDefault="002C2738" w:rsidP="002C2738">
            <w:pPr>
              <w:rPr>
                <w:szCs w:val="20"/>
              </w:rPr>
            </w:pPr>
          </w:p>
        </w:tc>
      </w:tr>
      <w:tr w:rsidR="002C2738" w:rsidRPr="00123985" w14:paraId="7E138CC4" w14:textId="77777777" w:rsidTr="002C2738">
        <w:trPr>
          <w:cnfStyle w:val="000000100000" w:firstRow="0" w:lastRow="0" w:firstColumn="0" w:lastColumn="0" w:oddVBand="0" w:evenVBand="0" w:oddHBand="1" w:evenHBand="0" w:firstRowFirstColumn="0" w:firstRowLastColumn="0" w:lastRowFirstColumn="0" w:lastRowLastColumn="0"/>
          <w:trHeight w:val="473"/>
        </w:trPr>
        <w:tc>
          <w:tcPr>
            <w:tcW w:w="990" w:type="dxa"/>
          </w:tcPr>
          <w:p w14:paraId="5E0E6808" w14:textId="77777777" w:rsidR="002C2738" w:rsidRPr="007E11B9" w:rsidRDefault="002C2738" w:rsidP="002C2738">
            <w:pPr>
              <w:spacing w:before="0" w:after="0"/>
              <w:rPr>
                <w:szCs w:val="20"/>
              </w:rPr>
            </w:pPr>
            <w:r w:rsidRPr="007E11B9">
              <w:rPr>
                <w:szCs w:val="20"/>
              </w:rPr>
              <w:t>21C(1)(a)</w:t>
            </w:r>
          </w:p>
        </w:tc>
        <w:tc>
          <w:tcPr>
            <w:tcW w:w="1131" w:type="dxa"/>
          </w:tcPr>
          <w:p w14:paraId="69B9DB30" w14:textId="77777777" w:rsidR="002C2738" w:rsidRPr="007E11B9" w:rsidRDefault="002C2738" w:rsidP="002C2738">
            <w:pPr>
              <w:spacing w:before="0" w:after="0"/>
              <w:rPr>
                <w:szCs w:val="20"/>
              </w:rPr>
            </w:pPr>
          </w:p>
        </w:tc>
        <w:tc>
          <w:tcPr>
            <w:tcW w:w="6503" w:type="dxa"/>
          </w:tcPr>
          <w:p w14:paraId="1A1AA9F0" w14:textId="77777777" w:rsidR="002C2738" w:rsidRPr="007E11B9" w:rsidRDefault="002C2738" w:rsidP="002C2738">
            <w:pPr>
              <w:spacing w:before="0" w:after="0"/>
              <w:rPr>
                <w:szCs w:val="20"/>
              </w:rPr>
            </w:pPr>
            <w:r w:rsidRPr="007E11B9">
              <w:rPr>
                <w:szCs w:val="20"/>
              </w:rPr>
              <w:t xml:space="preserve">the name and contact details of the credit reporting </w:t>
            </w:r>
            <w:r>
              <w:rPr>
                <w:szCs w:val="20"/>
              </w:rPr>
              <w:t>body</w:t>
            </w:r>
          </w:p>
        </w:tc>
        <w:tc>
          <w:tcPr>
            <w:cnfStyle w:val="000100000000" w:firstRow="0" w:lastRow="0" w:firstColumn="0" w:lastColumn="1" w:oddVBand="0" w:evenVBand="0" w:oddHBand="0" w:evenHBand="0" w:firstRowFirstColumn="0" w:firstRowLastColumn="0" w:lastRowFirstColumn="0" w:lastRowLastColumn="0"/>
            <w:tcW w:w="479" w:type="dxa"/>
            <w:vMerge w:val="restart"/>
            <w:shd w:val="clear" w:color="auto" w:fill="F9B384" w:themeFill="accent3" w:themeFillTint="99"/>
            <w:textDirection w:val="tbRl"/>
          </w:tcPr>
          <w:p w14:paraId="0BF62C70" w14:textId="77777777" w:rsidR="002C2738" w:rsidRPr="007E11B9" w:rsidRDefault="002C2738" w:rsidP="002C2738">
            <w:pPr>
              <w:ind w:left="113" w:right="113"/>
              <w:jc w:val="center"/>
              <w:rPr>
                <w:szCs w:val="20"/>
              </w:rPr>
            </w:pPr>
            <w:r w:rsidRPr="007E11B9">
              <w:rPr>
                <w:b/>
                <w:szCs w:val="20"/>
              </w:rPr>
              <w:t>Notifiable matters</w:t>
            </w:r>
          </w:p>
        </w:tc>
      </w:tr>
      <w:tr w:rsidR="002C2738" w:rsidRPr="00123985" w14:paraId="01533B5E" w14:textId="77777777" w:rsidTr="002C2738">
        <w:trPr>
          <w:cnfStyle w:val="000000010000" w:firstRow="0" w:lastRow="0" w:firstColumn="0" w:lastColumn="0" w:oddVBand="0" w:evenVBand="0" w:oddHBand="0" w:evenHBand="1" w:firstRowFirstColumn="0" w:firstRowLastColumn="0" w:lastRowFirstColumn="0" w:lastRowLastColumn="0"/>
          <w:trHeight w:val="473"/>
        </w:trPr>
        <w:tc>
          <w:tcPr>
            <w:tcW w:w="990" w:type="dxa"/>
          </w:tcPr>
          <w:p w14:paraId="4F0C315D" w14:textId="77777777" w:rsidR="002C2738" w:rsidRPr="007E11B9" w:rsidRDefault="002C2738" w:rsidP="002C2738">
            <w:pPr>
              <w:spacing w:before="0" w:after="0"/>
              <w:rPr>
                <w:szCs w:val="20"/>
              </w:rPr>
            </w:pPr>
          </w:p>
        </w:tc>
        <w:tc>
          <w:tcPr>
            <w:tcW w:w="1131" w:type="dxa"/>
          </w:tcPr>
          <w:p w14:paraId="21CEA7DC" w14:textId="77777777" w:rsidR="002C2738" w:rsidRPr="007E11B9" w:rsidRDefault="002C2738" w:rsidP="002C2738">
            <w:pPr>
              <w:spacing w:before="0" w:after="0"/>
              <w:rPr>
                <w:szCs w:val="20"/>
              </w:rPr>
            </w:pPr>
            <w:r>
              <w:rPr>
                <w:szCs w:val="20"/>
              </w:rPr>
              <w:t>4.1</w:t>
            </w:r>
          </w:p>
        </w:tc>
        <w:tc>
          <w:tcPr>
            <w:tcW w:w="6503" w:type="dxa"/>
          </w:tcPr>
          <w:p w14:paraId="100A6C0E" w14:textId="77777777" w:rsidR="002C2738" w:rsidRPr="007E11B9" w:rsidRDefault="002C2738" w:rsidP="002C2738">
            <w:pPr>
              <w:spacing w:before="0" w:after="0"/>
              <w:rPr>
                <w:szCs w:val="20"/>
              </w:rPr>
            </w:pPr>
            <w:r>
              <w:rPr>
                <w:szCs w:val="20"/>
              </w:rPr>
              <w:t>At or before the time a credit provider collects personal information about an individual that the credit provider is likely to disclose to a credit reporting body, the credit provider must notify or otherwise ensure the individual is made aware of the following matters in addition to the matters specified in Section 21c(1)(a)</w:t>
            </w:r>
          </w:p>
        </w:tc>
        <w:tc>
          <w:tcPr>
            <w:cnfStyle w:val="000100000000" w:firstRow="0" w:lastRow="0" w:firstColumn="0" w:lastColumn="1" w:oddVBand="0" w:evenVBand="0" w:oddHBand="0" w:evenHBand="0" w:firstRowFirstColumn="0" w:firstRowLastColumn="0" w:lastRowFirstColumn="0" w:lastRowLastColumn="0"/>
            <w:tcW w:w="479" w:type="dxa"/>
            <w:vMerge/>
            <w:shd w:val="clear" w:color="auto" w:fill="F9B384" w:themeFill="accent3" w:themeFillTint="99"/>
            <w:textDirection w:val="tbRl"/>
          </w:tcPr>
          <w:p w14:paraId="7AE01359" w14:textId="77777777" w:rsidR="002C2738" w:rsidRPr="007E11B9" w:rsidRDefault="002C2738" w:rsidP="002C2738">
            <w:pPr>
              <w:ind w:left="113" w:right="113"/>
              <w:jc w:val="center"/>
              <w:rPr>
                <w:b/>
                <w:szCs w:val="20"/>
              </w:rPr>
            </w:pPr>
          </w:p>
        </w:tc>
      </w:tr>
      <w:tr w:rsidR="002C2738" w:rsidRPr="00123985" w14:paraId="04C53653" w14:textId="77777777" w:rsidTr="002C2738">
        <w:trPr>
          <w:cnfStyle w:val="000000100000" w:firstRow="0" w:lastRow="0" w:firstColumn="0" w:lastColumn="0" w:oddVBand="0" w:evenVBand="0" w:oddHBand="1" w:evenHBand="0" w:firstRowFirstColumn="0" w:firstRowLastColumn="0" w:lastRowFirstColumn="0" w:lastRowLastColumn="0"/>
          <w:trHeight w:val="782"/>
        </w:trPr>
        <w:tc>
          <w:tcPr>
            <w:tcW w:w="990" w:type="dxa"/>
          </w:tcPr>
          <w:p w14:paraId="71192657" w14:textId="77777777" w:rsidR="002C2738" w:rsidRPr="007E11B9" w:rsidRDefault="002C2738" w:rsidP="002C2738">
            <w:pPr>
              <w:spacing w:before="0" w:after="0"/>
              <w:rPr>
                <w:szCs w:val="20"/>
              </w:rPr>
            </w:pPr>
          </w:p>
        </w:tc>
        <w:tc>
          <w:tcPr>
            <w:tcW w:w="1131" w:type="dxa"/>
          </w:tcPr>
          <w:p w14:paraId="6CE0C35A" w14:textId="77777777" w:rsidR="002C2738" w:rsidRPr="007E11B9" w:rsidRDefault="002C2738" w:rsidP="002C2738">
            <w:pPr>
              <w:spacing w:before="0" w:after="0"/>
              <w:rPr>
                <w:szCs w:val="20"/>
              </w:rPr>
            </w:pPr>
            <w:r w:rsidRPr="007E11B9">
              <w:rPr>
                <w:szCs w:val="20"/>
              </w:rPr>
              <w:t>4.1(a)</w:t>
            </w:r>
          </w:p>
        </w:tc>
        <w:tc>
          <w:tcPr>
            <w:tcW w:w="6503" w:type="dxa"/>
          </w:tcPr>
          <w:p w14:paraId="05B340B8" w14:textId="77777777" w:rsidR="002C2738" w:rsidRPr="007E11B9" w:rsidRDefault="002C2738" w:rsidP="002C2738">
            <w:pPr>
              <w:spacing w:before="0" w:after="0"/>
              <w:rPr>
                <w:szCs w:val="20"/>
              </w:rPr>
            </w:pPr>
            <w:r w:rsidRPr="007E11B9">
              <w:rPr>
                <w:szCs w:val="20"/>
              </w:rPr>
              <w:t xml:space="preserve">the </w:t>
            </w:r>
            <w:r w:rsidRPr="007C5F59">
              <w:rPr>
                <w:szCs w:val="20"/>
              </w:rPr>
              <w:t xml:space="preserve">credit reporting body </w:t>
            </w:r>
            <w:r w:rsidRPr="007E11B9">
              <w:rPr>
                <w:szCs w:val="20"/>
              </w:rPr>
              <w:t>may include the information in reports provided to credit providers to assist them to assess the individual’s credit worthiness</w:t>
            </w:r>
          </w:p>
        </w:tc>
        <w:tc>
          <w:tcPr>
            <w:cnfStyle w:val="000100000000" w:firstRow="0" w:lastRow="0" w:firstColumn="0" w:lastColumn="1" w:oddVBand="0" w:evenVBand="0" w:oddHBand="0" w:evenHBand="0" w:firstRowFirstColumn="0" w:firstRowLastColumn="0" w:lastRowFirstColumn="0" w:lastRowLastColumn="0"/>
            <w:tcW w:w="479" w:type="dxa"/>
            <w:vMerge/>
            <w:shd w:val="clear" w:color="auto" w:fill="F9B384" w:themeFill="accent3" w:themeFillTint="99"/>
            <w:textDirection w:val="tbRl"/>
            <w:vAlign w:val="bottom"/>
          </w:tcPr>
          <w:p w14:paraId="48C69169" w14:textId="77777777" w:rsidR="002C2738" w:rsidRPr="007E11B9" w:rsidRDefault="002C2738" w:rsidP="002C2738">
            <w:pPr>
              <w:ind w:left="113" w:right="113"/>
              <w:jc w:val="center"/>
              <w:rPr>
                <w:b/>
                <w:szCs w:val="20"/>
              </w:rPr>
            </w:pPr>
          </w:p>
        </w:tc>
      </w:tr>
      <w:tr w:rsidR="002C2738" w:rsidRPr="00123985" w14:paraId="5CF1DD1D" w14:textId="77777777" w:rsidTr="002C2738">
        <w:trPr>
          <w:cnfStyle w:val="000000010000" w:firstRow="0" w:lastRow="0" w:firstColumn="0" w:lastColumn="0" w:oddVBand="0" w:evenVBand="0" w:oddHBand="0" w:evenHBand="1" w:firstRowFirstColumn="0" w:firstRowLastColumn="0" w:lastRowFirstColumn="0" w:lastRowLastColumn="0"/>
          <w:trHeight w:val="774"/>
        </w:trPr>
        <w:tc>
          <w:tcPr>
            <w:tcW w:w="990" w:type="dxa"/>
          </w:tcPr>
          <w:p w14:paraId="1CC1C514" w14:textId="77777777" w:rsidR="002C2738" w:rsidRPr="007E11B9" w:rsidRDefault="002C2738" w:rsidP="002C2738">
            <w:pPr>
              <w:spacing w:before="0" w:after="0"/>
              <w:rPr>
                <w:szCs w:val="20"/>
              </w:rPr>
            </w:pPr>
          </w:p>
        </w:tc>
        <w:tc>
          <w:tcPr>
            <w:tcW w:w="1131" w:type="dxa"/>
          </w:tcPr>
          <w:p w14:paraId="50B24936" w14:textId="77777777" w:rsidR="002C2738" w:rsidRPr="007E11B9" w:rsidRDefault="002C2738" w:rsidP="002C2738">
            <w:pPr>
              <w:spacing w:before="0" w:after="0"/>
              <w:rPr>
                <w:szCs w:val="20"/>
              </w:rPr>
            </w:pPr>
            <w:r w:rsidRPr="007E11B9">
              <w:rPr>
                <w:szCs w:val="20"/>
              </w:rPr>
              <w:t>4.1(b)</w:t>
            </w:r>
          </w:p>
        </w:tc>
        <w:tc>
          <w:tcPr>
            <w:tcW w:w="6503" w:type="dxa"/>
          </w:tcPr>
          <w:p w14:paraId="62AF7841" w14:textId="77777777" w:rsidR="002C2738" w:rsidRPr="007E11B9" w:rsidRDefault="002C2738" w:rsidP="002C2738">
            <w:pPr>
              <w:spacing w:before="0" w:after="0"/>
              <w:rPr>
                <w:szCs w:val="20"/>
              </w:rPr>
            </w:pPr>
            <w:r w:rsidRPr="007E11B9">
              <w:rPr>
                <w:szCs w:val="20"/>
              </w:rPr>
              <w:t xml:space="preserve">that if the individual fails to meet their payment obligations in relation to </w:t>
            </w:r>
            <w:r w:rsidRPr="007E11B9">
              <w:rPr>
                <w:bCs/>
                <w:szCs w:val="20"/>
              </w:rPr>
              <w:t xml:space="preserve">consumer credit </w:t>
            </w:r>
            <w:r w:rsidRPr="007E11B9">
              <w:rPr>
                <w:szCs w:val="20"/>
              </w:rPr>
              <w:t xml:space="preserve">or commits a </w:t>
            </w:r>
            <w:r w:rsidRPr="007E11B9">
              <w:rPr>
                <w:bCs/>
                <w:szCs w:val="20"/>
              </w:rPr>
              <w:t>serious credit infringement</w:t>
            </w:r>
            <w:r w:rsidRPr="007E11B9">
              <w:rPr>
                <w:szCs w:val="20"/>
              </w:rPr>
              <w:t xml:space="preserve">, the credit provider may be entitled to disclose this to the </w:t>
            </w:r>
            <w:r w:rsidRPr="007C5F59">
              <w:rPr>
                <w:szCs w:val="20"/>
              </w:rPr>
              <w:t>credit reporting body</w:t>
            </w:r>
          </w:p>
        </w:tc>
        <w:tc>
          <w:tcPr>
            <w:cnfStyle w:val="000100000000" w:firstRow="0" w:lastRow="0" w:firstColumn="0" w:lastColumn="1" w:oddVBand="0" w:evenVBand="0" w:oddHBand="0" w:evenHBand="0" w:firstRowFirstColumn="0" w:firstRowLastColumn="0" w:lastRowFirstColumn="0" w:lastRowLastColumn="0"/>
            <w:tcW w:w="479" w:type="dxa"/>
            <w:vMerge/>
            <w:shd w:val="clear" w:color="auto" w:fill="F9B384" w:themeFill="accent3" w:themeFillTint="99"/>
          </w:tcPr>
          <w:p w14:paraId="00A53513" w14:textId="77777777" w:rsidR="002C2738" w:rsidRPr="007E11B9" w:rsidRDefault="002C2738" w:rsidP="002C2738">
            <w:pPr>
              <w:rPr>
                <w:szCs w:val="20"/>
              </w:rPr>
            </w:pPr>
          </w:p>
        </w:tc>
      </w:tr>
      <w:tr w:rsidR="002C2738" w:rsidRPr="00123985" w14:paraId="1177252F" w14:textId="77777777" w:rsidTr="002C2738">
        <w:trPr>
          <w:cnfStyle w:val="000000100000" w:firstRow="0" w:lastRow="0" w:firstColumn="0" w:lastColumn="0" w:oddVBand="0" w:evenVBand="0" w:oddHBand="1" w:evenHBand="0" w:firstRowFirstColumn="0" w:firstRowLastColumn="0" w:lastRowFirstColumn="0" w:lastRowLastColumn="0"/>
          <w:trHeight w:val="1309"/>
        </w:trPr>
        <w:tc>
          <w:tcPr>
            <w:tcW w:w="990" w:type="dxa"/>
          </w:tcPr>
          <w:p w14:paraId="45BC78C1" w14:textId="77777777" w:rsidR="002C2738" w:rsidRPr="007E11B9" w:rsidRDefault="002C2738" w:rsidP="002C2738">
            <w:pPr>
              <w:spacing w:before="0" w:after="0"/>
              <w:rPr>
                <w:szCs w:val="20"/>
              </w:rPr>
            </w:pPr>
          </w:p>
        </w:tc>
        <w:tc>
          <w:tcPr>
            <w:tcW w:w="1131" w:type="dxa"/>
          </w:tcPr>
          <w:p w14:paraId="6A715389" w14:textId="77777777" w:rsidR="002C2738" w:rsidRPr="007E11B9" w:rsidRDefault="002C2738" w:rsidP="002C2738">
            <w:pPr>
              <w:spacing w:before="0" w:after="0"/>
              <w:rPr>
                <w:szCs w:val="20"/>
              </w:rPr>
            </w:pPr>
            <w:r w:rsidRPr="007E11B9">
              <w:rPr>
                <w:szCs w:val="20"/>
              </w:rPr>
              <w:t>4.1(c)</w:t>
            </w:r>
          </w:p>
        </w:tc>
        <w:tc>
          <w:tcPr>
            <w:tcW w:w="6503" w:type="dxa"/>
          </w:tcPr>
          <w:p w14:paraId="189E9D4B" w14:textId="77777777" w:rsidR="002C2738" w:rsidRPr="007E11B9" w:rsidRDefault="002C2738" w:rsidP="002C2738">
            <w:pPr>
              <w:spacing w:before="0" w:after="0"/>
              <w:rPr>
                <w:szCs w:val="20"/>
              </w:rPr>
            </w:pPr>
            <w:r w:rsidRPr="007E11B9">
              <w:rPr>
                <w:szCs w:val="20"/>
              </w:rPr>
              <w:t xml:space="preserve">how the individual may obtain the credit providers policy about the management of credit-related personal information required by section 21B of the Privacy Act and the </w:t>
            </w:r>
            <w:r w:rsidRPr="007C5F59">
              <w:rPr>
                <w:szCs w:val="20"/>
              </w:rPr>
              <w:t>credit reporting body</w:t>
            </w:r>
            <w:r w:rsidRPr="007E11B9">
              <w:rPr>
                <w:szCs w:val="20"/>
              </w:rPr>
              <w:t>'s policy about the management of credit-related personal information required by section 20B of the Privacy Act</w:t>
            </w:r>
          </w:p>
        </w:tc>
        <w:tc>
          <w:tcPr>
            <w:cnfStyle w:val="000100000000" w:firstRow="0" w:lastRow="0" w:firstColumn="0" w:lastColumn="1" w:oddVBand="0" w:evenVBand="0" w:oddHBand="0" w:evenHBand="0" w:firstRowFirstColumn="0" w:firstRowLastColumn="0" w:lastRowFirstColumn="0" w:lastRowLastColumn="0"/>
            <w:tcW w:w="479" w:type="dxa"/>
            <w:vMerge/>
            <w:shd w:val="clear" w:color="auto" w:fill="F9B384" w:themeFill="accent3" w:themeFillTint="99"/>
          </w:tcPr>
          <w:p w14:paraId="1804F6A7" w14:textId="77777777" w:rsidR="002C2738" w:rsidRPr="007E11B9" w:rsidRDefault="002C2738" w:rsidP="002C2738">
            <w:pPr>
              <w:rPr>
                <w:szCs w:val="20"/>
              </w:rPr>
            </w:pPr>
          </w:p>
        </w:tc>
      </w:tr>
      <w:tr w:rsidR="002C2738" w:rsidRPr="00123985" w14:paraId="01FFF4FC" w14:textId="77777777" w:rsidTr="002C2738">
        <w:trPr>
          <w:cnfStyle w:val="000000010000" w:firstRow="0" w:lastRow="0" w:firstColumn="0" w:lastColumn="0" w:oddVBand="0" w:evenVBand="0" w:oddHBand="0" w:evenHBand="1" w:firstRowFirstColumn="0" w:firstRowLastColumn="0" w:lastRowFirstColumn="0" w:lastRowLastColumn="0"/>
          <w:trHeight w:val="774"/>
        </w:trPr>
        <w:tc>
          <w:tcPr>
            <w:tcW w:w="990" w:type="dxa"/>
          </w:tcPr>
          <w:p w14:paraId="22DA3E9D" w14:textId="77777777" w:rsidR="002C2738" w:rsidRPr="007E11B9" w:rsidRDefault="002C2738" w:rsidP="002C2738">
            <w:pPr>
              <w:spacing w:before="0" w:after="0"/>
              <w:rPr>
                <w:szCs w:val="20"/>
              </w:rPr>
            </w:pPr>
          </w:p>
        </w:tc>
        <w:tc>
          <w:tcPr>
            <w:tcW w:w="1131" w:type="dxa"/>
          </w:tcPr>
          <w:p w14:paraId="29A0CBE7" w14:textId="77777777" w:rsidR="002C2738" w:rsidRPr="007E11B9" w:rsidRDefault="002C2738" w:rsidP="002C2738">
            <w:pPr>
              <w:spacing w:before="0" w:after="0"/>
              <w:rPr>
                <w:szCs w:val="20"/>
              </w:rPr>
            </w:pPr>
            <w:r w:rsidRPr="007E11B9">
              <w:rPr>
                <w:szCs w:val="20"/>
              </w:rPr>
              <w:t>4.1(d)</w:t>
            </w:r>
          </w:p>
        </w:tc>
        <w:tc>
          <w:tcPr>
            <w:tcW w:w="6503" w:type="dxa"/>
          </w:tcPr>
          <w:p w14:paraId="18BB1F9B" w14:textId="77777777" w:rsidR="002C2738" w:rsidRPr="007E11B9" w:rsidRDefault="002C2738" w:rsidP="002C2738">
            <w:pPr>
              <w:spacing w:before="0" w:after="0"/>
              <w:rPr>
                <w:szCs w:val="20"/>
              </w:rPr>
            </w:pPr>
            <w:r w:rsidRPr="004750BE">
              <w:t>the individual's rights to access the information from the credit provider, to request the credit provider to correct the information and to make a complaint</w:t>
            </w:r>
          </w:p>
        </w:tc>
        <w:tc>
          <w:tcPr>
            <w:cnfStyle w:val="000100000000" w:firstRow="0" w:lastRow="0" w:firstColumn="0" w:lastColumn="1" w:oddVBand="0" w:evenVBand="0" w:oddHBand="0" w:evenHBand="0" w:firstRowFirstColumn="0" w:firstRowLastColumn="0" w:lastRowFirstColumn="0" w:lastRowLastColumn="0"/>
            <w:tcW w:w="479" w:type="dxa"/>
            <w:vMerge/>
            <w:shd w:val="clear" w:color="auto" w:fill="F9B384" w:themeFill="accent3" w:themeFillTint="99"/>
          </w:tcPr>
          <w:p w14:paraId="5DB84A1C" w14:textId="77777777" w:rsidR="002C2738" w:rsidRPr="007E11B9" w:rsidRDefault="002C2738" w:rsidP="002C2738">
            <w:pPr>
              <w:rPr>
                <w:szCs w:val="20"/>
              </w:rPr>
            </w:pPr>
          </w:p>
        </w:tc>
      </w:tr>
      <w:tr w:rsidR="002C2738" w:rsidRPr="00123985" w14:paraId="3EB6CC84" w14:textId="77777777" w:rsidTr="002C2738">
        <w:trPr>
          <w:cnfStyle w:val="000000100000" w:firstRow="0" w:lastRow="0" w:firstColumn="0" w:lastColumn="0" w:oddVBand="0" w:evenVBand="0" w:oddHBand="1" w:evenHBand="0" w:firstRowFirstColumn="0" w:firstRowLastColumn="0" w:lastRowFirstColumn="0" w:lastRowLastColumn="0"/>
          <w:trHeight w:val="785"/>
        </w:trPr>
        <w:tc>
          <w:tcPr>
            <w:tcW w:w="990" w:type="dxa"/>
          </w:tcPr>
          <w:p w14:paraId="53660EBC" w14:textId="77777777" w:rsidR="002C2738" w:rsidRPr="007E11B9" w:rsidRDefault="002C2738" w:rsidP="002C2738">
            <w:pPr>
              <w:spacing w:before="0" w:after="0"/>
              <w:rPr>
                <w:szCs w:val="20"/>
              </w:rPr>
            </w:pPr>
          </w:p>
        </w:tc>
        <w:tc>
          <w:tcPr>
            <w:tcW w:w="1131" w:type="dxa"/>
          </w:tcPr>
          <w:p w14:paraId="0D501C11" w14:textId="77777777" w:rsidR="002C2738" w:rsidRPr="007E11B9" w:rsidRDefault="002C2738" w:rsidP="002C2738">
            <w:pPr>
              <w:spacing w:before="0" w:after="0"/>
              <w:rPr>
                <w:szCs w:val="20"/>
              </w:rPr>
            </w:pPr>
            <w:r w:rsidRPr="007E11B9">
              <w:rPr>
                <w:szCs w:val="20"/>
              </w:rPr>
              <w:t>4.1(e)</w:t>
            </w:r>
          </w:p>
        </w:tc>
        <w:tc>
          <w:tcPr>
            <w:tcW w:w="6503" w:type="dxa"/>
          </w:tcPr>
          <w:p w14:paraId="55517385" w14:textId="77777777" w:rsidR="002C2738" w:rsidRPr="007E11B9" w:rsidRDefault="002C2738" w:rsidP="002C2738">
            <w:pPr>
              <w:spacing w:before="0" w:after="0"/>
              <w:rPr>
                <w:szCs w:val="20"/>
              </w:rPr>
            </w:pPr>
            <w:r w:rsidRPr="004750BE">
              <w:t xml:space="preserve">the individual's right to request </w:t>
            </w:r>
            <w:r>
              <w:t>credit reporting bodies</w:t>
            </w:r>
            <w:r w:rsidRPr="004750BE">
              <w:t xml:space="preserve"> not to use their </w:t>
            </w:r>
            <w:r w:rsidRPr="004750BE">
              <w:rPr>
                <w:bCs/>
              </w:rPr>
              <w:t xml:space="preserve">credit reporting information </w:t>
            </w:r>
            <w:r w:rsidRPr="004750BE">
              <w:t>to be used for the purposes of pre-screening of direct marketing by a credit provider</w:t>
            </w:r>
          </w:p>
        </w:tc>
        <w:tc>
          <w:tcPr>
            <w:cnfStyle w:val="000100000000" w:firstRow="0" w:lastRow="0" w:firstColumn="0" w:lastColumn="1" w:oddVBand="0" w:evenVBand="0" w:oddHBand="0" w:evenHBand="0" w:firstRowFirstColumn="0" w:firstRowLastColumn="0" w:lastRowFirstColumn="0" w:lastRowLastColumn="0"/>
            <w:tcW w:w="479" w:type="dxa"/>
            <w:vMerge/>
            <w:shd w:val="clear" w:color="auto" w:fill="F9B384" w:themeFill="accent3" w:themeFillTint="99"/>
          </w:tcPr>
          <w:p w14:paraId="30C989C3" w14:textId="77777777" w:rsidR="002C2738" w:rsidRPr="007E11B9" w:rsidRDefault="002C2738" w:rsidP="002C2738">
            <w:pPr>
              <w:rPr>
                <w:szCs w:val="20"/>
              </w:rPr>
            </w:pPr>
          </w:p>
        </w:tc>
      </w:tr>
      <w:tr w:rsidR="002C2738" w:rsidRPr="00123985" w14:paraId="55C47808" w14:textId="77777777" w:rsidTr="002C2738">
        <w:trPr>
          <w:cnfStyle w:val="000000010000" w:firstRow="0" w:lastRow="0" w:firstColumn="0" w:lastColumn="0" w:oddVBand="0" w:evenVBand="0" w:oddHBand="0" w:evenHBand="1" w:firstRowFirstColumn="0" w:firstRowLastColumn="0" w:lastRowFirstColumn="0" w:lastRowLastColumn="0"/>
          <w:trHeight w:val="1035"/>
        </w:trPr>
        <w:tc>
          <w:tcPr>
            <w:tcW w:w="990" w:type="dxa"/>
          </w:tcPr>
          <w:p w14:paraId="05D0B328" w14:textId="77777777" w:rsidR="002C2738" w:rsidRPr="007E11B9" w:rsidRDefault="002C2738" w:rsidP="002C2738">
            <w:pPr>
              <w:spacing w:before="0" w:after="0"/>
              <w:rPr>
                <w:szCs w:val="20"/>
              </w:rPr>
            </w:pPr>
          </w:p>
        </w:tc>
        <w:tc>
          <w:tcPr>
            <w:tcW w:w="1131" w:type="dxa"/>
          </w:tcPr>
          <w:p w14:paraId="3275B8C9" w14:textId="77777777" w:rsidR="002C2738" w:rsidRPr="007E11B9" w:rsidRDefault="002C2738" w:rsidP="002C2738">
            <w:pPr>
              <w:spacing w:before="0" w:after="0"/>
              <w:rPr>
                <w:szCs w:val="20"/>
              </w:rPr>
            </w:pPr>
            <w:r w:rsidRPr="007E11B9">
              <w:rPr>
                <w:szCs w:val="20"/>
              </w:rPr>
              <w:t>4.1(f)</w:t>
            </w:r>
          </w:p>
        </w:tc>
        <w:tc>
          <w:tcPr>
            <w:tcW w:w="6503" w:type="dxa"/>
          </w:tcPr>
          <w:p w14:paraId="693EB3C9" w14:textId="77777777" w:rsidR="002C2738" w:rsidRPr="007E11B9" w:rsidRDefault="002C2738" w:rsidP="002C2738">
            <w:pPr>
              <w:spacing w:before="0" w:after="0"/>
              <w:rPr>
                <w:szCs w:val="20"/>
              </w:rPr>
            </w:pPr>
            <w:r w:rsidRPr="004750BE">
              <w:t xml:space="preserve">the individual’s right to request the </w:t>
            </w:r>
            <w:r w:rsidRPr="007C5F59">
              <w:t xml:space="preserve">credit reporting body </w:t>
            </w:r>
            <w:r w:rsidRPr="004750BE">
              <w:t xml:space="preserve">not to use or disclose </w:t>
            </w:r>
            <w:r w:rsidRPr="004750BE">
              <w:rPr>
                <w:bCs/>
              </w:rPr>
              <w:t xml:space="preserve">credit reporting information </w:t>
            </w:r>
            <w:r w:rsidRPr="004750BE">
              <w:t>about the individual, if the individual believes on reasonable grounds that the individual has been or is likely to be a victim of fraud</w:t>
            </w:r>
          </w:p>
        </w:tc>
        <w:tc>
          <w:tcPr>
            <w:cnfStyle w:val="000100000000" w:firstRow="0" w:lastRow="0" w:firstColumn="0" w:lastColumn="1" w:oddVBand="0" w:evenVBand="0" w:oddHBand="0" w:evenHBand="0" w:firstRowFirstColumn="0" w:firstRowLastColumn="0" w:lastRowFirstColumn="0" w:lastRowLastColumn="0"/>
            <w:tcW w:w="479" w:type="dxa"/>
            <w:vMerge/>
            <w:shd w:val="clear" w:color="auto" w:fill="F9B384" w:themeFill="accent3" w:themeFillTint="99"/>
          </w:tcPr>
          <w:p w14:paraId="25840BC6" w14:textId="77777777" w:rsidR="002C2738" w:rsidRPr="007E11B9" w:rsidRDefault="002C2738" w:rsidP="002C2738">
            <w:pPr>
              <w:rPr>
                <w:szCs w:val="20"/>
              </w:rPr>
            </w:pPr>
          </w:p>
        </w:tc>
      </w:tr>
      <w:tr w:rsidR="002C2738" w:rsidRPr="00123985" w14:paraId="3312670D" w14:textId="77777777" w:rsidTr="002C2738">
        <w:trPr>
          <w:cnfStyle w:val="000000100000" w:firstRow="0" w:lastRow="0" w:firstColumn="0" w:lastColumn="0" w:oddVBand="0" w:evenVBand="0" w:oddHBand="1" w:evenHBand="0" w:firstRowFirstColumn="0" w:firstRowLastColumn="0" w:lastRowFirstColumn="0" w:lastRowLastColumn="0"/>
          <w:trHeight w:val="785"/>
        </w:trPr>
        <w:tc>
          <w:tcPr>
            <w:tcW w:w="990" w:type="dxa"/>
          </w:tcPr>
          <w:p w14:paraId="6D3DA139" w14:textId="77777777" w:rsidR="002C2738" w:rsidRPr="007E11B9" w:rsidRDefault="002C2738" w:rsidP="002C2738">
            <w:pPr>
              <w:spacing w:before="0" w:after="0"/>
              <w:rPr>
                <w:szCs w:val="20"/>
              </w:rPr>
            </w:pPr>
          </w:p>
        </w:tc>
        <w:tc>
          <w:tcPr>
            <w:tcW w:w="1131" w:type="dxa"/>
          </w:tcPr>
          <w:p w14:paraId="705EEB22" w14:textId="77777777" w:rsidR="002C2738" w:rsidRDefault="002C2738" w:rsidP="002C2738">
            <w:pPr>
              <w:spacing w:before="0" w:after="0"/>
              <w:rPr>
                <w:szCs w:val="20"/>
              </w:rPr>
            </w:pPr>
            <w:r>
              <w:rPr>
                <w:szCs w:val="20"/>
              </w:rPr>
              <w:t>4.2</w:t>
            </w:r>
          </w:p>
        </w:tc>
        <w:tc>
          <w:tcPr>
            <w:tcW w:w="6503" w:type="dxa"/>
          </w:tcPr>
          <w:p w14:paraId="046F790E" w14:textId="77777777" w:rsidR="002C2738" w:rsidRPr="007C5F59" w:rsidRDefault="002C2738" w:rsidP="002C2738">
            <w:pPr>
              <w:spacing w:before="0" w:after="0"/>
              <w:rPr>
                <w:szCs w:val="20"/>
              </w:rPr>
            </w:pPr>
            <w:r>
              <w:t>a credit provider may comply with the obligation in Section 21C(1)(a) and paragraph 4.1 of this Code to notify or ensure an individual is aware of specified matters (the notifiable matters) by:</w:t>
            </w:r>
          </w:p>
        </w:tc>
        <w:tc>
          <w:tcPr>
            <w:cnfStyle w:val="000100000000" w:firstRow="0" w:lastRow="0" w:firstColumn="0" w:lastColumn="1" w:oddVBand="0" w:evenVBand="0" w:oddHBand="0" w:evenHBand="0" w:firstRowFirstColumn="0" w:firstRowLastColumn="0" w:lastRowFirstColumn="0" w:lastRowLastColumn="0"/>
            <w:tcW w:w="479" w:type="dxa"/>
          </w:tcPr>
          <w:p w14:paraId="4383D1BF" w14:textId="77777777" w:rsidR="002C2738" w:rsidRPr="007E11B9" w:rsidRDefault="002C2738" w:rsidP="002C2738">
            <w:pPr>
              <w:rPr>
                <w:szCs w:val="20"/>
              </w:rPr>
            </w:pPr>
          </w:p>
        </w:tc>
      </w:tr>
      <w:tr w:rsidR="002C2738" w:rsidRPr="00123985" w14:paraId="7A4810AB" w14:textId="77777777" w:rsidTr="002C2738">
        <w:trPr>
          <w:cnfStyle w:val="000000010000" w:firstRow="0" w:lastRow="0" w:firstColumn="0" w:lastColumn="0" w:oddVBand="0" w:evenVBand="0" w:oddHBand="0" w:evenHBand="1" w:firstRowFirstColumn="0" w:firstRowLastColumn="0" w:lastRowFirstColumn="0" w:lastRowLastColumn="0"/>
          <w:trHeight w:val="546"/>
        </w:trPr>
        <w:tc>
          <w:tcPr>
            <w:tcW w:w="990" w:type="dxa"/>
          </w:tcPr>
          <w:p w14:paraId="64082F51" w14:textId="77777777" w:rsidR="002C2738" w:rsidRPr="007E11B9" w:rsidRDefault="002C2738" w:rsidP="002C2738">
            <w:pPr>
              <w:spacing w:before="0" w:after="0"/>
              <w:rPr>
                <w:szCs w:val="20"/>
              </w:rPr>
            </w:pPr>
          </w:p>
        </w:tc>
        <w:tc>
          <w:tcPr>
            <w:tcW w:w="1131" w:type="dxa"/>
          </w:tcPr>
          <w:p w14:paraId="290C2F36" w14:textId="77777777" w:rsidR="002C2738" w:rsidRDefault="002C2738" w:rsidP="002C2738">
            <w:pPr>
              <w:spacing w:before="0" w:after="0"/>
              <w:rPr>
                <w:szCs w:val="20"/>
              </w:rPr>
            </w:pPr>
            <w:r>
              <w:rPr>
                <w:szCs w:val="20"/>
              </w:rPr>
              <w:t>4.2 (a)</w:t>
            </w:r>
          </w:p>
        </w:tc>
        <w:tc>
          <w:tcPr>
            <w:tcW w:w="6503" w:type="dxa"/>
          </w:tcPr>
          <w:p w14:paraId="537BFCF6" w14:textId="77777777" w:rsidR="002C2738" w:rsidRPr="007C5F59" w:rsidRDefault="002C2738" w:rsidP="002C2738">
            <w:pPr>
              <w:spacing w:before="0" w:after="0"/>
              <w:rPr>
                <w:szCs w:val="20"/>
              </w:rPr>
            </w:pPr>
            <w:r>
              <w:rPr>
                <w:szCs w:val="20"/>
              </w:rPr>
              <w:t>publishing a clearly expressed statement of the notifiable matters on its website</w:t>
            </w:r>
          </w:p>
        </w:tc>
        <w:tc>
          <w:tcPr>
            <w:cnfStyle w:val="000100000000" w:firstRow="0" w:lastRow="0" w:firstColumn="0" w:lastColumn="1" w:oddVBand="0" w:evenVBand="0" w:oddHBand="0" w:evenHBand="0" w:firstRowFirstColumn="0" w:firstRowLastColumn="0" w:lastRowFirstColumn="0" w:lastRowLastColumn="0"/>
            <w:tcW w:w="479" w:type="dxa"/>
          </w:tcPr>
          <w:p w14:paraId="56A45B1B" w14:textId="77777777" w:rsidR="002C2738" w:rsidRPr="007E11B9" w:rsidRDefault="002C2738" w:rsidP="002C2738">
            <w:pPr>
              <w:rPr>
                <w:szCs w:val="20"/>
              </w:rPr>
            </w:pPr>
          </w:p>
        </w:tc>
      </w:tr>
      <w:tr w:rsidR="002C2738" w:rsidRPr="00123985" w14:paraId="1DDD19B2" w14:textId="77777777" w:rsidTr="002C2738">
        <w:trPr>
          <w:cnfStyle w:val="000000100000" w:firstRow="0" w:lastRow="0" w:firstColumn="0" w:lastColumn="0" w:oddVBand="0" w:evenVBand="0" w:oddHBand="1" w:evenHBand="0" w:firstRowFirstColumn="0" w:firstRowLastColumn="0" w:lastRowFirstColumn="0" w:lastRowLastColumn="0"/>
          <w:trHeight w:val="1047"/>
        </w:trPr>
        <w:tc>
          <w:tcPr>
            <w:tcW w:w="990" w:type="dxa"/>
          </w:tcPr>
          <w:p w14:paraId="39B4659C" w14:textId="77777777" w:rsidR="002C2738" w:rsidRPr="007E11B9" w:rsidRDefault="002C2738" w:rsidP="002C2738">
            <w:pPr>
              <w:spacing w:before="0" w:after="0"/>
              <w:rPr>
                <w:szCs w:val="20"/>
              </w:rPr>
            </w:pPr>
          </w:p>
        </w:tc>
        <w:tc>
          <w:tcPr>
            <w:tcW w:w="1131" w:type="dxa"/>
          </w:tcPr>
          <w:p w14:paraId="58AAE451" w14:textId="77777777" w:rsidR="002C2738" w:rsidRPr="007E11B9" w:rsidRDefault="002C2738" w:rsidP="002C2738">
            <w:pPr>
              <w:spacing w:before="0" w:after="0"/>
              <w:rPr>
                <w:szCs w:val="20"/>
              </w:rPr>
            </w:pPr>
            <w:r>
              <w:rPr>
                <w:szCs w:val="20"/>
              </w:rPr>
              <w:t>4.2(b)</w:t>
            </w:r>
          </w:p>
        </w:tc>
        <w:tc>
          <w:tcPr>
            <w:tcW w:w="6503" w:type="dxa"/>
          </w:tcPr>
          <w:p w14:paraId="2F05DEAE" w14:textId="77777777" w:rsidR="002C2738" w:rsidRPr="007E11B9" w:rsidRDefault="002C2738" w:rsidP="002C2738">
            <w:pPr>
              <w:spacing w:before="0" w:after="0"/>
              <w:rPr>
                <w:szCs w:val="20"/>
              </w:rPr>
            </w:pPr>
            <w:r w:rsidRPr="007C5F59">
              <w:rPr>
                <w:szCs w:val="20"/>
              </w:rPr>
              <w:t xml:space="preserve">making the individual aware that the </w:t>
            </w:r>
            <w:r>
              <w:rPr>
                <w:szCs w:val="20"/>
              </w:rPr>
              <w:t>credit provider’s</w:t>
            </w:r>
            <w:r w:rsidRPr="007C5F59">
              <w:rPr>
                <w:szCs w:val="20"/>
              </w:rPr>
              <w:t xml:space="preserve"> website includes information about credit reporting, including the credit reporting bod</w:t>
            </w:r>
            <w:r>
              <w:rPr>
                <w:szCs w:val="20"/>
              </w:rPr>
              <w:t xml:space="preserve">ies </w:t>
            </w:r>
            <w:r w:rsidRPr="007C5F59">
              <w:rPr>
                <w:szCs w:val="20"/>
              </w:rPr>
              <w:t xml:space="preserve">to which the </w:t>
            </w:r>
            <w:r>
              <w:rPr>
                <w:szCs w:val="20"/>
              </w:rPr>
              <w:t>credit provider</w:t>
            </w:r>
            <w:r w:rsidRPr="007C5F59">
              <w:rPr>
                <w:szCs w:val="20"/>
              </w:rPr>
              <w:t xml:space="preserve"> is likely to disclose the individual’s credit information</w:t>
            </w:r>
          </w:p>
        </w:tc>
        <w:tc>
          <w:tcPr>
            <w:cnfStyle w:val="000100000000" w:firstRow="0" w:lastRow="0" w:firstColumn="0" w:lastColumn="1" w:oddVBand="0" w:evenVBand="0" w:oddHBand="0" w:evenHBand="0" w:firstRowFirstColumn="0" w:firstRowLastColumn="0" w:lastRowFirstColumn="0" w:lastRowLastColumn="0"/>
            <w:tcW w:w="479" w:type="dxa"/>
          </w:tcPr>
          <w:p w14:paraId="0F3C783B" w14:textId="77777777" w:rsidR="002C2738" w:rsidRPr="007E11B9" w:rsidRDefault="002C2738" w:rsidP="002C2738">
            <w:pPr>
              <w:rPr>
                <w:szCs w:val="20"/>
              </w:rPr>
            </w:pPr>
          </w:p>
        </w:tc>
      </w:tr>
      <w:tr w:rsidR="002C2738" w:rsidRPr="00123985" w14:paraId="02F43D39" w14:textId="77777777" w:rsidTr="002C2738">
        <w:trPr>
          <w:cnfStyle w:val="000000010000" w:firstRow="0" w:lastRow="0" w:firstColumn="0" w:lastColumn="0" w:oddVBand="0" w:evenVBand="0" w:oddHBand="0" w:evenHBand="1" w:firstRowFirstColumn="0" w:firstRowLastColumn="0" w:lastRowFirstColumn="0" w:lastRowLastColumn="0"/>
          <w:trHeight w:val="557"/>
        </w:trPr>
        <w:tc>
          <w:tcPr>
            <w:tcW w:w="990" w:type="dxa"/>
          </w:tcPr>
          <w:p w14:paraId="462F8639" w14:textId="77777777" w:rsidR="002C2738" w:rsidRPr="007E11B9" w:rsidRDefault="002C2738" w:rsidP="002C2738">
            <w:pPr>
              <w:spacing w:before="0" w:after="0"/>
              <w:rPr>
                <w:szCs w:val="20"/>
              </w:rPr>
            </w:pPr>
          </w:p>
        </w:tc>
        <w:tc>
          <w:tcPr>
            <w:tcW w:w="1131" w:type="dxa"/>
          </w:tcPr>
          <w:p w14:paraId="283D1A44" w14:textId="77777777" w:rsidR="002C2738" w:rsidRPr="007E11B9" w:rsidRDefault="002C2738" w:rsidP="002C2738">
            <w:pPr>
              <w:spacing w:before="0" w:after="0"/>
              <w:rPr>
                <w:szCs w:val="20"/>
              </w:rPr>
            </w:pPr>
            <w:r>
              <w:rPr>
                <w:szCs w:val="20"/>
              </w:rPr>
              <w:t>4.2(c)</w:t>
            </w:r>
          </w:p>
        </w:tc>
        <w:tc>
          <w:tcPr>
            <w:tcW w:w="6503" w:type="dxa"/>
          </w:tcPr>
          <w:p w14:paraId="4B256936" w14:textId="77777777" w:rsidR="002C2738" w:rsidRPr="007E11B9" w:rsidRDefault="002C2738" w:rsidP="002C2738">
            <w:pPr>
              <w:spacing w:before="0" w:after="0"/>
              <w:rPr>
                <w:szCs w:val="20"/>
              </w:rPr>
            </w:pPr>
            <w:r w:rsidRPr="007C5F59">
              <w:rPr>
                <w:szCs w:val="20"/>
              </w:rPr>
              <w:t xml:space="preserve">providing details of the </w:t>
            </w:r>
            <w:r>
              <w:rPr>
                <w:szCs w:val="20"/>
              </w:rPr>
              <w:t>credit provider</w:t>
            </w:r>
            <w:r w:rsidRPr="007C5F59">
              <w:rPr>
                <w:szCs w:val="20"/>
              </w:rPr>
              <w:t>’s website and ensuring that the notifiable matters are prominently displayed on the website</w:t>
            </w:r>
          </w:p>
        </w:tc>
        <w:tc>
          <w:tcPr>
            <w:cnfStyle w:val="000100000000" w:firstRow="0" w:lastRow="0" w:firstColumn="0" w:lastColumn="1" w:oddVBand="0" w:evenVBand="0" w:oddHBand="0" w:evenHBand="0" w:firstRowFirstColumn="0" w:firstRowLastColumn="0" w:lastRowFirstColumn="0" w:lastRowLastColumn="0"/>
            <w:tcW w:w="479" w:type="dxa"/>
          </w:tcPr>
          <w:p w14:paraId="75421388" w14:textId="77777777" w:rsidR="002C2738" w:rsidRPr="007E11B9" w:rsidRDefault="002C2738" w:rsidP="002C2738">
            <w:pPr>
              <w:rPr>
                <w:szCs w:val="20"/>
              </w:rPr>
            </w:pPr>
          </w:p>
        </w:tc>
      </w:tr>
      <w:tr w:rsidR="002C2738" w:rsidRPr="00123985" w14:paraId="2B7E4158" w14:textId="77777777" w:rsidTr="002C2738">
        <w:trPr>
          <w:cnfStyle w:val="000000100000" w:firstRow="0" w:lastRow="0" w:firstColumn="0" w:lastColumn="0" w:oddVBand="0" w:evenVBand="0" w:oddHBand="1" w:evenHBand="0" w:firstRowFirstColumn="0" w:firstRowLastColumn="0" w:lastRowFirstColumn="0" w:lastRowLastColumn="0"/>
          <w:trHeight w:val="774"/>
        </w:trPr>
        <w:tc>
          <w:tcPr>
            <w:tcW w:w="990" w:type="dxa"/>
          </w:tcPr>
          <w:p w14:paraId="6EDD6E13" w14:textId="77777777" w:rsidR="002C2738" w:rsidRPr="007E11B9" w:rsidRDefault="002C2738" w:rsidP="002C2738">
            <w:pPr>
              <w:spacing w:before="0" w:after="0"/>
              <w:rPr>
                <w:szCs w:val="20"/>
              </w:rPr>
            </w:pPr>
          </w:p>
        </w:tc>
        <w:tc>
          <w:tcPr>
            <w:tcW w:w="1131" w:type="dxa"/>
          </w:tcPr>
          <w:p w14:paraId="3FD4BBDA" w14:textId="77777777" w:rsidR="002C2738" w:rsidRPr="007E11B9" w:rsidRDefault="002C2738" w:rsidP="002C2738">
            <w:pPr>
              <w:spacing w:before="0" w:after="0"/>
              <w:rPr>
                <w:szCs w:val="20"/>
              </w:rPr>
            </w:pPr>
            <w:r>
              <w:rPr>
                <w:szCs w:val="20"/>
              </w:rPr>
              <w:t>4.2(d)</w:t>
            </w:r>
          </w:p>
        </w:tc>
        <w:tc>
          <w:tcPr>
            <w:tcW w:w="6503" w:type="dxa"/>
          </w:tcPr>
          <w:p w14:paraId="5F3768CB" w14:textId="77777777" w:rsidR="002C2738" w:rsidRPr="007E11B9" w:rsidRDefault="002C2738" w:rsidP="002C2738">
            <w:pPr>
              <w:spacing w:before="0" w:after="0"/>
              <w:rPr>
                <w:szCs w:val="20"/>
              </w:rPr>
            </w:pPr>
            <w:r w:rsidRPr="007C5F59">
              <w:rPr>
                <w:szCs w:val="20"/>
              </w:rPr>
              <w:t>making it clear to the individual that they can request to have the statement of notifiable matters (available on the website) provided in an alternative form – such as a hard copy</w:t>
            </w:r>
          </w:p>
        </w:tc>
        <w:tc>
          <w:tcPr>
            <w:cnfStyle w:val="000100000000" w:firstRow="0" w:lastRow="0" w:firstColumn="0" w:lastColumn="1" w:oddVBand="0" w:evenVBand="0" w:oddHBand="0" w:evenHBand="0" w:firstRowFirstColumn="0" w:firstRowLastColumn="0" w:lastRowFirstColumn="0" w:lastRowLastColumn="0"/>
            <w:tcW w:w="479" w:type="dxa"/>
          </w:tcPr>
          <w:p w14:paraId="6BBC2257" w14:textId="77777777" w:rsidR="002C2738" w:rsidRPr="007E11B9" w:rsidRDefault="002C2738" w:rsidP="002C2738">
            <w:pPr>
              <w:rPr>
                <w:szCs w:val="20"/>
              </w:rPr>
            </w:pPr>
          </w:p>
        </w:tc>
      </w:tr>
      <w:bookmarkEnd w:id="1"/>
    </w:tbl>
    <w:p w14:paraId="793B193B" w14:textId="22CD93AC" w:rsidR="00B97BB1" w:rsidRPr="00B97BB1" w:rsidRDefault="00B97BB1" w:rsidP="002C2738">
      <w:pPr>
        <w:pStyle w:val="Heading2"/>
      </w:pPr>
    </w:p>
    <w:sectPr w:rsidR="00B97BB1" w:rsidRPr="00B97BB1" w:rsidSect="008F6B66">
      <w:headerReference w:type="default" r:id="rId11"/>
      <w:footerReference w:type="default" r:id="rId12"/>
      <w:headerReference w:type="first" r:id="rId13"/>
      <w:footerReference w:type="first" r:id="rId14"/>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11CF0" w14:textId="77777777" w:rsidR="002C2738" w:rsidRDefault="002C2738" w:rsidP="00305BDE">
      <w:pPr>
        <w:spacing w:before="0" w:after="0" w:line="240" w:lineRule="auto"/>
      </w:pPr>
      <w:r>
        <w:separator/>
      </w:r>
    </w:p>
    <w:p w14:paraId="6A6FE99E" w14:textId="77777777" w:rsidR="002C2738" w:rsidRDefault="002C2738"/>
  </w:endnote>
  <w:endnote w:type="continuationSeparator" w:id="0">
    <w:p w14:paraId="6F8C40B0" w14:textId="77777777" w:rsidR="002C2738" w:rsidRDefault="002C2738" w:rsidP="00305BDE">
      <w:pPr>
        <w:spacing w:before="0" w:after="0" w:line="240" w:lineRule="auto"/>
      </w:pPr>
      <w:r>
        <w:continuationSeparator/>
      </w:r>
    </w:p>
    <w:p w14:paraId="729A8038" w14:textId="77777777" w:rsidR="002C2738" w:rsidRDefault="002C2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DEFD" w14:textId="77777777" w:rsidR="002C2738" w:rsidRDefault="002C2738" w:rsidP="00B927B5">
    <w:pPr>
      <w:pStyle w:val="Footer"/>
      <w:rPr>
        <w:noProof/>
      </w:rPr>
    </w:pPr>
    <w:r>
      <w:rPr>
        <w:noProof/>
      </w:rPr>
      <mc:AlternateContent>
        <mc:Choice Requires="wps">
          <w:drawing>
            <wp:anchor distT="0" distB="0" distL="114300" distR="114300" simplePos="0" relativeHeight="251664384" behindDoc="0" locked="1" layoutInCell="1" allowOverlap="1" wp14:anchorId="67C420CD" wp14:editId="6A2B47BD">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14:paraId="37852DFA" w14:textId="77777777" w:rsidR="002C2738" w:rsidRDefault="002C2738"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420CD"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14:paraId="37852DFA" w14:textId="77777777" w:rsidR="002C2738" w:rsidRDefault="002C2738"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Pr>
                        <w:rStyle w:val="Strong"/>
                        <w:noProof/>
                      </w:rPr>
                      <w:t>4</w:t>
                    </w:r>
                    <w:r w:rsidRPr="00151C5E">
                      <w:rPr>
                        <w:rStyle w:val="Strong"/>
                      </w:rPr>
                      <w:fldChar w:fldCharType="end"/>
                    </w:r>
                  </w:p>
                </w:txbxContent>
              </v:textbox>
              <w10:wrap anchorx="page" anchory="page"/>
              <w10:anchorlock/>
            </v:shape>
          </w:pict>
        </mc:Fallback>
      </mc:AlternateContent>
    </w:r>
    <w:r>
      <w:rPr>
        <w:noProof/>
      </w:rPr>
      <w:drawing>
        <wp:anchor distT="0" distB="0" distL="114300" distR="114300" simplePos="0" relativeHeight="251663360" behindDoc="1" locked="1" layoutInCell="1" allowOverlap="1" wp14:anchorId="196C13C0" wp14:editId="623E6A6A">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5677D7" w14:textId="77777777" w:rsidR="002C2738" w:rsidRPr="00DB3154" w:rsidRDefault="002C2738" w:rsidP="008F6B66">
    <w:pPr>
      <w:pStyle w:val="Footer"/>
    </w:pPr>
    <w:sdt>
      <w:sdtPr>
        <w:alias w:val="Title"/>
        <w:tag w:val=""/>
        <w:id w:val="-762830138"/>
        <w:dataBinding w:prefixMappings="xmlns:ns0='http://purl.org/dc/elements/1.1/' xmlns:ns1='http://schemas.openxmlformats.org/package/2006/metadata/core-properties' " w:xpath="/ns1:coreProperties[1]/ns0:title[1]" w:storeItemID="{6C3C8BC8-F283-45AE-878A-BAB7291924A1}"/>
        <w:text/>
      </w:sdtPr>
      <w:sdtContent>
        <w:r>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0DD2" w14:textId="77777777" w:rsidR="002C2738" w:rsidRPr="002B3D91" w:rsidRDefault="002C2738" w:rsidP="002B3D91">
    <w:pPr>
      <w:pStyle w:val="LinkedFooter"/>
      <w:framePr w:wrap="around"/>
    </w:pPr>
    <w:sdt>
      <w:sdtPr>
        <w:alias w:val="Title"/>
        <w:tag w:val=""/>
        <w:id w:val="1849057276"/>
        <w:dataBinding w:prefixMappings="xmlns:ns0='http://purl.org/dc/elements/1.1/' xmlns:ns1='http://schemas.openxmlformats.org/package/2006/metadata/core-properties' " w:xpath="/ns1:coreProperties[1]/ns0:title[1]" w:storeItemID="{6C3C8BC8-F283-45AE-878A-BAB7291924A1}"/>
        <w:text/>
      </w:sdtPr>
      <w:sdtContent>
        <w:r>
          <w:t>EDR Response Guide</w:t>
        </w:r>
      </w:sdtContent>
    </w:sdt>
  </w:p>
  <w:p w14:paraId="3E9DFE2A" w14:textId="77777777" w:rsidR="002C2738" w:rsidRDefault="002C2738">
    <w:pPr>
      <w:pStyle w:val="Footer"/>
    </w:pPr>
  </w:p>
  <w:p w14:paraId="4E2C7908" w14:textId="77777777" w:rsidR="002C2738" w:rsidRDefault="002C2738">
    <w:pPr>
      <w:pStyle w:val="Footer"/>
    </w:pPr>
    <w:r>
      <w:rPr>
        <w:noProof/>
      </w:rPr>
      <w:drawing>
        <wp:anchor distT="0" distB="0" distL="114300" distR="114300" simplePos="0" relativeHeight="251661312" behindDoc="1" locked="1" layoutInCell="1" allowOverlap="1" wp14:anchorId="44EB084F" wp14:editId="07AA9E3D">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31DAD" w14:textId="77777777" w:rsidR="002C2738" w:rsidRDefault="002C2738" w:rsidP="00EB7421">
      <w:pPr>
        <w:spacing w:before="0" w:after="0" w:line="240" w:lineRule="auto"/>
      </w:pPr>
      <w:r>
        <w:separator/>
      </w:r>
    </w:p>
  </w:footnote>
  <w:footnote w:type="continuationSeparator" w:id="0">
    <w:p w14:paraId="1EAC2B14" w14:textId="77777777" w:rsidR="002C2738" w:rsidRDefault="002C2738" w:rsidP="00305BDE">
      <w:pPr>
        <w:spacing w:before="0" w:after="0" w:line="240" w:lineRule="auto"/>
      </w:pPr>
      <w:r>
        <w:continuationSeparator/>
      </w:r>
    </w:p>
    <w:p w14:paraId="4DFD5F87" w14:textId="77777777" w:rsidR="002C2738" w:rsidRDefault="002C2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87AA" w14:textId="77777777" w:rsidR="002C2738" w:rsidRPr="005C01D5" w:rsidRDefault="002C2738">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1812" w14:textId="77777777" w:rsidR="002C2738" w:rsidRDefault="002C2738">
    <w:pPr>
      <w:pStyle w:val="Header"/>
    </w:pPr>
    <w:r>
      <w:rPr>
        <w:noProof/>
      </w:rPr>
      <w:drawing>
        <wp:anchor distT="0" distB="0" distL="114300" distR="114300" simplePos="0" relativeHeight="251659264" behindDoc="1" locked="1" layoutInCell="1" allowOverlap="1" wp14:anchorId="0F855128" wp14:editId="08872D8C">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35pt;height:11.5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64C2DC8"/>
    <w:multiLevelType w:val="hybridMultilevel"/>
    <w:tmpl w:val="3638867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50C28"/>
    <w:multiLevelType w:val="multilevel"/>
    <w:tmpl w:val="CB02A5CA"/>
    <w:numStyleLink w:val="Bullets"/>
  </w:abstractNum>
  <w:abstractNum w:abstractNumId="18"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B5F62B1"/>
    <w:multiLevelType w:val="multilevel"/>
    <w:tmpl w:val="CB02A5CA"/>
    <w:numStyleLink w:val="Bullets"/>
  </w:abstractNum>
  <w:abstractNum w:abstractNumId="20" w15:restartNumberingAfterBreak="0">
    <w:nsid w:val="3E01639D"/>
    <w:multiLevelType w:val="multilevel"/>
    <w:tmpl w:val="CB02A5CA"/>
    <w:numStyleLink w:val="Bullets"/>
  </w:abstractNum>
  <w:abstractNum w:abstractNumId="21" w15:restartNumberingAfterBreak="0">
    <w:nsid w:val="45EB0F67"/>
    <w:multiLevelType w:val="multilevel"/>
    <w:tmpl w:val="CB02A5CA"/>
    <w:numStyleLink w:val="Bullets"/>
  </w:abstractNum>
  <w:abstractNum w:abstractNumId="22" w15:restartNumberingAfterBreak="0">
    <w:nsid w:val="49CC630C"/>
    <w:multiLevelType w:val="multilevel"/>
    <w:tmpl w:val="CB02A5CA"/>
    <w:numStyleLink w:val="Bullets"/>
  </w:abstractNum>
  <w:abstractNum w:abstractNumId="23" w15:restartNumberingAfterBreak="0">
    <w:nsid w:val="4BC20635"/>
    <w:multiLevelType w:val="multilevel"/>
    <w:tmpl w:val="CB02A5CA"/>
    <w:numStyleLink w:val="Bullets"/>
  </w:abstractNum>
  <w:abstractNum w:abstractNumId="24"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6" w15:restartNumberingAfterBreak="0">
    <w:nsid w:val="58F7562C"/>
    <w:multiLevelType w:val="multilevel"/>
    <w:tmpl w:val="CB02A5CA"/>
    <w:numStyleLink w:val="Bullets"/>
  </w:abstractNum>
  <w:abstractNum w:abstractNumId="27"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9" w15:restartNumberingAfterBreak="0">
    <w:nsid w:val="71F51EDC"/>
    <w:multiLevelType w:val="multilevel"/>
    <w:tmpl w:val="CB02A5CA"/>
    <w:numStyleLink w:val="Bullets"/>
  </w:abstractNum>
  <w:num w:numId="1">
    <w:abstractNumId w:val="8"/>
  </w:num>
  <w:num w:numId="2">
    <w:abstractNumId w:val="29"/>
  </w:num>
  <w:num w:numId="3">
    <w:abstractNumId w:val="7"/>
  </w:num>
  <w:num w:numId="4">
    <w:abstractNumId w:val="6"/>
  </w:num>
  <w:num w:numId="5">
    <w:abstractNumId w:val="27"/>
  </w:num>
  <w:num w:numId="6">
    <w:abstractNumId w:val="3"/>
  </w:num>
  <w:num w:numId="7">
    <w:abstractNumId w:val="2"/>
  </w:num>
  <w:num w:numId="8">
    <w:abstractNumId w:val="28"/>
  </w:num>
  <w:num w:numId="9">
    <w:abstractNumId w:val="5"/>
  </w:num>
  <w:num w:numId="10">
    <w:abstractNumId w:val="4"/>
  </w:num>
  <w:num w:numId="11">
    <w:abstractNumId w:val="23"/>
  </w:num>
  <w:num w:numId="12">
    <w:abstractNumId w:val="18"/>
  </w:num>
  <w:num w:numId="13">
    <w:abstractNumId w:val="1"/>
  </w:num>
  <w:num w:numId="14">
    <w:abstractNumId w:val="0"/>
  </w:num>
  <w:num w:numId="15">
    <w:abstractNumId w:val="24"/>
  </w:num>
  <w:num w:numId="16">
    <w:abstractNumId w:val="9"/>
  </w:num>
  <w:num w:numId="17">
    <w:abstractNumId w:val="9"/>
  </w:num>
  <w:num w:numId="18">
    <w:abstractNumId w:val="21"/>
  </w:num>
  <w:num w:numId="19">
    <w:abstractNumId w:val="22"/>
  </w:num>
  <w:num w:numId="20">
    <w:abstractNumId w:val="10"/>
  </w:num>
  <w:num w:numId="21">
    <w:abstractNumId w:val="13"/>
  </w:num>
  <w:num w:numId="22">
    <w:abstractNumId w:val="17"/>
  </w:num>
  <w:num w:numId="23">
    <w:abstractNumId w:val="26"/>
  </w:num>
  <w:num w:numId="24">
    <w:abstractNumId w:val="11"/>
  </w:num>
  <w:num w:numId="25">
    <w:abstractNumId w:val="14"/>
  </w:num>
  <w:num w:numId="26">
    <w:abstractNumId w:val="19"/>
  </w:num>
  <w:num w:numId="27">
    <w:abstractNumId w:val="20"/>
  </w:num>
  <w:num w:numId="28">
    <w:abstractNumId w:val="25"/>
  </w:num>
  <w:num w:numId="29">
    <w:abstractNumId w:val="15"/>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889"/>
    <w:rsid w:val="00000593"/>
    <w:rsid w:val="0000616D"/>
    <w:rsid w:val="00012889"/>
    <w:rsid w:val="00022021"/>
    <w:rsid w:val="000341C9"/>
    <w:rsid w:val="0005056B"/>
    <w:rsid w:val="000534DF"/>
    <w:rsid w:val="000573D4"/>
    <w:rsid w:val="00062047"/>
    <w:rsid w:val="00063DF6"/>
    <w:rsid w:val="00085EE4"/>
    <w:rsid w:val="00086A1C"/>
    <w:rsid w:val="00091054"/>
    <w:rsid w:val="00092B5B"/>
    <w:rsid w:val="000A4104"/>
    <w:rsid w:val="00104BD4"/>
    <w:rsid w:val="00131BA2"/>
    <w:rsid w:val="001348B4"/>
    <w:rsid w:val="00135727"/>
    <w:rsid w:val="00140D07"/>
    <w:rsid w:val="00150D4B"/>
    <w:rsid w:val="00151C5E"/>
    <w:rsid w:val="0015656E"/>
    <w:rsid w:val="0016789A"/>
    <w:rsid w:val="001804FD"/>
    <w:rsid w:val="00182AED"/>
    <w:rsid w:val="00186CE5"/>
    <w:rsid w:val="001C07C1"/>
    <w:rsid w:val="001C127B"/>
    <w:rsid w:val="001C5BEB"/>
    <w:rsid w:val="001D4AE0"/>
    <w:rsid w:val="001E7A3B"/>
    <w:rsid w:val="001F34EA"/>
    <w:rsid w:val="00210AC9"/>
    <w:rsid w:val="00221261"/>
    <w:rsid w:val="00221F53"/>
    <w:rsid w:val="00225133"/>
    <w:rsid w:val="00240C80"/>
    <w:rsid w:val="0026370E"/>
    <w:rsid w:val="002641AA"/>
    <w:rsid w:val="00270D7B"/>
    <w:rsid w:val="00273695"/>
    <w:rsid w:val="00283391"/>
    <w:rsid w:val="002918A9"/>
    <w:rsid w:val="00292431"/>
    <w:rsid w:val="002A0516"/>
    <w:rsid w:val="002A0FBE"/>
    <w:rsid w:val="002B3512"/>
    <w:rsid w:val="002B3D91"/>
    <w:rsid w:val="002C2738"/>
    <w:rsid w:val="002D3F7A"/>
    <w:rsid w:val="002E1BDC"/>
    <w:rsid w:val="002F4055"/>
    <w:rsid w:val="00305BDE"/>
    <w:rsid w:val="00322159"/>
    <w:rsid w:val="00324EA8"/>
    <w:rsid w:val="003337E4"/>
    <w:rsid w:val="0039010C"/>
    <w:rsid w:val="0039151B"/>
    <w:rsid w:val="00396ADA"/>
    <w:rsid w:val="003A7024"/>
    <w:rsid w:val="003B15D0"/>
    <w:rsid w:val="003C4D8A"/>
    <w:rsid w:val="003D2409"/>
    <w:rsid w:val="003E4F05"/>
    <w:rsid w:val="003E6ECA"/>
    <w:rsid w:val="003F07DA"/>
    <w:rsid w:val="003F18C9"/>
    <w:rsid w:val="00414637"/>
    <w:rsid w:val="004219DB"/>
    <w:rsid w:val="004370A7"/>
    <w:rsid w:val="0044042E"/>
    <w:rsid w:val="00450FBD"/>
    <w:rsid w:val="00454350"/>
    <w:rsid w:val="00457D47"/>
    <w:rsid w:val="00472FF8"/>
    <w:rsid w:val="004C26C0"/>
    <w:rsid w:val="004E1CAF"/>
    <w:rsid w:val="004E330A"/>
    <w:rsid w:val="004E7101"/>
    <w:rsid w:val="004F5121"/>
    <w:rsid w:val="005252A3"/>
    <w:rsid w:val="00540C30"/>
    <w:rsid w:val="00551969"/>
    <w:rsid w:val="00552488"/>
    <w:rsid w:val="0056454A"/>
    <w:rsid w:val="00575B95"/>
    <w:rsid w:val="00583B12"/>
    <w:rsid w:val="00590169"/>
    <w:rsid w:val="00590B5D"/>
    <w:rsid w:val="00592E3E"/>
    <w:rsid w:val="005A056B"/>
    <w:rsid w:val="005A6532"/>
    <w:rsid w:val="005B2FC7"/>
    <w:rsid w:val="005C01D5"/>
    <w:rsid w:val="005D2BC2"/>
    <w:rsid w:val="005E13F7"/>
    <w:rsid w:val="005E3B10"/>
    <w:rsid w:val="005F108E"/>
    <w:rsid w:val="005F111E"/>
    <w:rsid w:val="005F5B7C"/>
    <w:rsid w:val="006017F2"/>
    <w:rsid w:val="0060213F"/>
    <w:rsid w:val="006050CD"/>
    <w:rsid w:val="00605EC6"/>
    <w:rsid w:val="0060712D"/>
    <w:rsid w:val="0061650F"/>
    <w:rsid w:val="00631E1B"/>
    <w:rsid w:val="00633DBB"/>
    <w:rsid w:val="00634B85"/>
    <w:rsid w:val="00660C1D"/>
    <w:rsid w:val="006636EC"/>
    <w:rsid w:val="006727BA"/>
    <w:rsid w:val="00676299"/>
    <w:rsid w:val="00684E4E"/>
    <w:rsid w:val="006A0FE5"/>
    <w:rsid w:val="006B196D"/>
    <w:rsid w:val="006C006C"/>
    <w:rsid w:val="006C345C"/>
    <w:rsid w:val="006D4DE0"/>
    <w:rsid w:val="006F1CB8"/>
    <w:rsid w:val="00702A5A"/>
    <w:rsid w:val="007210CD"/>
    <w:rsid w:val="00737D6A"/>
    <w:rsid w:val="00756504"/>
    <w:rsid w:val="007616A0"/>
    <w:rsid w:val="007666D0"/>
    <w:rsid w:val="00781FB7"/>
    <w:rsid w:val="00794070"/>
    <w:rsid w:val="007E1B6F"/>
    <w:rsid w:val="008037A2"/>
    <w:rsid w:val="0081290B"/>
    <w:rsid w:val="00821337"/>
    <w:rsid w:val="00821BF6"/>
    <w:rsid w:val="00822EAB"/>
    <w:rsid w:val="0083283F"/>
    <w:rsid w:val="008339F7"/>
    <w:rsid w:val="008342FA"/>
    <w:rsid w:val="00837C03"/>
    <w:rsid w:val="00866DB6"/>
    <w:rsid w:val="00892B78"/>
    <w:rsid w:val="00894748"/>
    <w:rsid w:val="008B503B"/>
    <w:rsid w:val="008B5E79"/>
    <w:rsid w:val="008B7C0E"/>
    <w:rsid w:val="008D1CD0"/>
    <w:rsid w:val="008D3CEE"/>
    <w:rsid w:val="008E3227"/>
    <w:rsid w:val="008E47D4"/>
    <w:rsid w:val="008F6B66"/>
    <w:rsid w:val="00930387"/>
    <w:rsid w:val="009307D8"/>
    <w:rsid w:val="009335AB"/>
    <w:rsid w:val="00947473"/>
    <w:rsid w:val="0095492A"/>
    <w:rsid w:val="00957DD8"/>
    <w:rsid w:val="009629C5"/>
    <w:rsid w:val="00967D13"/>
    <w:rsid w:val="00970762"/>
    <w:rsid w:val="00972955"/>
    <w:rsid w:val="009760A4"/>
    <w:rsid w:val="0098527C"/>
    <w:rsid w:val="009909B0"/>
    <w:rsid w:val="009965BA"/>
    <w:rsid w:val="009A366A"/>
    <w:rsid w:val="009A6707"/>
    <w:rsid w:val="009B0986"/>
    <w:rsid w:val="009C6DE6"/>
    <w:rsid w:val="009D57B6"/>
    <w:rsid w:val="009E2999"/>
    <w:rsid w:val="00A0319D"/>
    <w:rsid w:val="00A03F26"/>
    <w:rsid w:val="00A311EC"/>
    <w:rsid w:val="00A445D1"/>
    <w:rsid w:val="00A45478"/>
    <w:rsid w:val="00A50E03"/>
    <w:rsid w:val="00A54DA4"/>
    <w:rsid w:val="00A607B6"/>
    <w:rsid w:val="00A60C61"/>
    <w:rsid w:val="00A656EE"/>
    <w:rsid w:val="00A76159"/>
    <w:rsid w:val="00A83032"/>
    <w:rsid w:val="00A91B33"/>
    <w:rsid w:val="00AC1FEC"/>
    <w:rsid w:val="00AC26F7"/>
    <w:rsid w:val="00AD013B"/>
    <w:rsid w:val="00AE35D1"/>
    <w:rsid w:val="00AE415F"/>
    <w:rsid w:val="00AE6D59"/>
    <w:rsid w:val="00AF0756"/>
    <w:rsid w:val="00B01015"/>
    <w:rsid w:val="00B2100C"/>
    <w:rsid w:val="00B231D3"/>
    <w:rsid w:val="00B31BA2"/>
    <w:rsid w:val="00B32E27"/>
    <w:rsid w:val="00B334D9"/>
    <w:rsid w:val="00B35A89"/>
    <w:rsid w:val="00B554E9"/>
    <w:rsid w:val="00B80B1C"/>
    <w:rsid w:val="00B8141B"/>
    <w:rsid w:val="00B927B5"/>
    <w:rsid w:val="00B97BB1"/>
    <w:rsid w:val="00BC2786"/>
    <w:rsid w:val="00BE4E4D"/>
    <w:rsid w:val="00BF09FD"/>
    <w:rsid w:val="00BF16EA"/>
    <w:rsid w:val="00BF235D"/>
    <w:rsid w:val="00C04C00"/>
    <w:rsid w:val="00C1669B"/>
    <w:rsid w:val="00C241F6"/>
    <w:rsid w:val="00C24A12"/>
    <w:rsid w:val="00C4460B"/>
    <w:rsid w:val="00C51E16"/>
    <w:rsid w:val="00C55871"/>
    <w:rsid w:val="00C65F1E"/>
    <w:rsid w:val="00C738A8"/>
    <w:rsid w:val="00CA3D81"/>
    <w:rsid w:val="00CE79EB"/>
    <w:rsid w:val="00D03D66"/>
    <w:rsid w:val="00D22BC8"/>
    <w:rsid w:val="00D24BEF"/>
    <w:rsid w:val="00D50D4D"/>
    <w:rsid w:val="00D74E83"/>
    <w:rsid w:val="00D77979"/>
    <w:rsid w:val="00DB3154"/>
    <w:rsid w:val="00DB4F07"/>
    <w:rsid w:val="00DC05AE"/>
    <w:rsid w:val="00DC14F0"/>
    <w:rsid w:val="00DC5EFB"/>
    <w:rsid w:val="00E04847"/>
    <w:rsid w:val="00E04C18"/>
    <w:rsid w:val="00E2090C"/>
    <w:rsid w:val="00E33610"/>
    <w:rsid w:val="00E560C6"/>
    <w:rsid w:val="00E65F2F"/>
    <w:rsid w:val="00E94CCD"/>
    <w:rsid w:val="00EB7421"/>
    <w:rsid w:val="00EC5802"/>
    <w:rsid w:val="00ED45FF"/>
    <w:rsid w:val="00ED78EC"/>
    <w:rsid w:val="00EE0074"/>
    <w:rsid w:val="00EE06C2"/>
    <w:rsid w:val="00EE1BF2"/>
    <w:rsid w:val="00EE4E6E"/>
    <w:rsid w:val="00EF6903"/>
    <w:rsid w:val="00F00629"/>
    <w:rsid w:val="00F03D69"/>
    <w:rsid w:val="00F2709F"/>
    <w:rsid w:val="00F33833"/>
    <w:rsid w:val="00F44107"/>
    <w:rsid w:val="00F6212D"/>
    <w:rsid w:val="00F62869"/>
    <w:rsid w:val="00F629E5"/>
    <w:rsid w:val="00F710EB"/>
    <w:rsid w:val="00F97F41"/>
    <w:rsid w:val="00FA0298"/>
    <w:rsid w:val="00FD4FEC"/>
    <w:rsid w:val="00FD5CB0"/>
    <w:rsid w:val="00FF6819"/>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61B9"/>
  <w15:chartTrackingRefBased/>
  <w15:docId w15:val="{DC129463-0DD1-4827-8BCA-1C3152EB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5"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 w:type="paragraph" w:styleId="TOCHeading">
    <w:name w:val="TOC Heading"/>
    <w:basedOn w:val="Heading1"/>
    <w:next w:val="Normal"/>
    <w:uiPriority w:val="39"/>
    <w:unhideWhenUsed/>
    <w:qFormat/>
    <w:rsid w:val="00B97BB1"/>
    <w:pPr>
      <w:spacing w:before="240" w:after="0" w:line="259" w:lineRule="auto"/>
      <w:outlineLvl w:val="9"/>
    </w:pPr>
    <w:rPr>
      <w:color w:val="001A47" w:themeColor="accent1" w:themeShade="BF"/>
      <w:lang w:val="en-US"/>
    </w:rPr>
  </w:style>
  <w:style w:type="paragraph" w:styleId="TOC2">
    <w:name w:val="toc 2"/>
    <w:basedOn w:val="Normal"/>
    <w:next w:val="Normal"/>
    <w:autoRedefine/>
    <w:uiPriority w:val="39"/>
    <w:unhideWhenUsed/>
    <w:rsid w:val="00B97BB1"/>
    <w:pPr>
      <w:spacing w:after="100"/>
      <w:ind w:left="240"/>
    </w:pPr>
  </w:style>
  <w:style w:type="paragraph" w:styleId="BalloonText">
    <w:name w:val="Balloon Text"/>
    <w:basedOn w:val="Normal"/>
    <w:link w:val="BalloonTextChar"/>
    <w:uiPriority w:val="99"/>
    <w:semiHidden/>
    <w:unhideWhenUsed/>
    <w:rsid w:val="00063D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DF6"/>
    <w:rPr>
      <w:rFonts w:ascii="Segoe UI" w:hAnsi="Segoe UI" w:cs="Segoe UI"/>
      <w:sz w:val="18"/>
      <w:szCs w:val="18"/>
    </w:rPr>
  </w:style>
  <w:style w:type="character" w:styleId="CommentReference">
    <w:name w:val="annotation reference"/>
    <w:basedOn w:val="DefaultParagraphFont"/>
    <w:uiPriority w:val="99"/>
    <w:semiHidden/>
    <w:unhideWhenUsed/>
    <w:rsid w:val="00B32E27"/>
    <w:rPr>
      <w:sz w:val="16"/>
      <w:szCs w:val="16"/>
    </w:rPr>
  </w:style>
  <w:style w:type="paragraph" w:styleId="CommentText">
    <w:name w:val="annotation text"/>
    <w:basedOn w:val="Normal"/>
    <w:link w:val="CommentTextChar"/>
    <w:uiPriority w:val="99"/>
    <w:semiHidden/>
    <w:unhideWhenUsed/>
    <w:rsid w:val="00B32E27"/>
    <w:pPr>
      <w:spacing w:line="240" w:lineRule="auto"/>
    </w:pPr>
    <w:rPr>
      <w:sz w:val="20"/>
      <w:szCs w:val="20"/>
    </w:rPr>
  </w:style>
  <w:style w:type="character" w:customStyle="1" w:styleId="CommentTextChar">
    <w:name w:val="Comment Text Char"/>
    <w:basedOn w:val="DefaultParagraphFont"/>
    <w:link w:val="CommentText"/>
    <w:uiPriority w:val="99"/>
    <w:semiHidden/>
    <w:rsid w:val="00B32E27"/>
    <w:rPr>
      <w:sz w:val="20"/>
      <w:szCs w:val="20"/>
    </w:rPr>
  </w:style>
  <w:style w:type="paragraph" w:styleId="CommentSubject">
    <w:name w:val="annotation subject"/>
    <w:basedOn w:val="CommentText"/>
    <w:next w:val="CommentText"/>
    <w:link w:val="CommentSubjectChar"/>
    <w:uiPriority w:val="99"/>
    <w:semiHidden/>
    <w:unhideWhenUsed/>
    <w:rsid w:val="00B32E27"/>
    <w:rPr>
      <w:b/>
      <w:bCs/>
    </w:rPr>
  </w:style>
  <w:style w:type="character" w:customStyle="1" w:styleId="CommentSubjectChar">
    <w:name w:val="Comment Subject Char"/>
    <w:basedOn w:val="CommentTextChar"/>
    <w:link w:val="CommentSubject"/>
    <w:uiPriority w:val="99"/>
    <w:semiHidden/>
    <w:rsid w:val="00B32E27"/>
    <w:rPr>
      <w:b/>
      <w:bCs/>
      <w:sz w:val="20"/>
      <w:szCs w:val="20"/>
    </w:rPr>
  </w:style>
  <w:style w:type="paragraph" w:customStyle="1" w:styleId="Default">
    <w:name w:val="Default"/>
    <w:rsid w:val="005A056B"/>
    <w:pPr>
      <w:autoSpaceDE w:val="0"/>
      <w:autoSpaceDN w:val="0"/>
      <w:adjustRightInd w:val="0"/>
      <w:spacing w:before="0" w:after="0" w:line="240" w:lineRule="auto"/>
    </w:pPr>
    <w:rPr>
      <w:rFonts w:ascii="Arial" w:hAnsi="Arial" w:cs="Arial"/>
      <w:color w:val="000000"/>
    </w:rPr>
  </w:style>
  <w:style w:type="paragraph" w:styleId="Revision">
    <w:name w:val="Revision"/>
    <w:hidden/>
    <w:uiPriority w:val="99"/>
    <w:semiHidden/>
    <w:rsid w:val="003337E4"/>
    <w:pPr>
      <w:spacing w:before="0" w:after="0" w:line="240" w:lineRule="auto"/>
    </w:pPr>
  </w:style>
  <w:style w:type="paragraph" w:styleId="ListParagraph">
    <w:name w:val="List Paragraph"/>
    <w:basedOn w:val="Normal"/>
    <w:uiPriority w:val="34"/>
    <w:semiHidden/>
    <w:qFormat/>
    <w:rsid w:val="00C24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mitriou\Desktop\EDR%20with%20new%20Template\Generic%20A4%20portrait%20template%20(AFCA%20Template)%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EE79C19EAB4BC491EA318D56CB0652"/>
        <w:category>
          <w:name w:val="General"/>
          <w:gallery w:val="placeholder"/>
        </w:category>
        <w:types>
          <w:type w:val="bbPlcHdr"/>
        </w:types>
        <w:behaviors>
          <w:behavior w:val="content"/>
        </w:behaviors>
        <w:guid w:val="{6D2BC1F0-90FE-4B9C-A095-5635B4126456}"/>
      </w:docPartPr>
      <w:docPartBody>
        <w:p w:rsidR="00A42D1C" w:rsidRDefault="00636182">
          <w:pPr>
            <w:pStyle w:val="22EE79C19EAB4BC491EA318D56CB0652"/>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82"/>
    <w:rsid w:val="00491198"/>
    <w:rsid w:val="005034A2"/>
    <w:rsid w:val="005B2A0C"/>
    <w:rsid w:val="00636182"/>
    <w:rsid w:val="00656A9D"/>
    <w:rsid w:val="006A3A80"/>
    <w:rsid w:val="008B1247"/>
    <w:rsid w:val="00A42D1C"/>
    <w:rsid w:val="00B25AFC"/>
    <w:rsid w:val="00C57CD5"/>
    <w:rsid w:val="00CA0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EE79C19EAB4BC491EA318D56CB0652">
    <w:name w:val="22EE79C19EAB4BC491EA318D56CB0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B077B317BB34BA2E9F33EF1423692" ma:contentTypeVersion="7" ma:contentTypeDescription="Create a new document." ma:contentTypeScope="" ma:versionID="ea85e885944bf1292cec467d254541f8">
  <xsd:schema xmlns:xsd="http://www.w3.org/2001/XMLSchema" xmlns:xs="http://www.w3.org/2001/XMLSchema" xmlns:p="http://schemas.microsoft.com/office/2006/metadata/properties" xmlns:ns1="http://schemas.microsoft.com/sharepoint/v3" xmlns:ns2="a2e9beaf-5c4a-43f8-8edb-1f766478a691" xmlns:ns3="74062ae3-8d6b-4a30-9265-9d48ba646f6d" targetNamespace="http://schemas.microsoft.com/office/2006/metadata/properties" ma:root="true" ma:fieldsID="5d3e70ee304aa8b8f3b1a1976d08df8c" ns1:_="" ns2:_="" ns3:_="">
    <xsd:import namespace="http://schemas.microsoft.com/sharepoint/v3"/>
    <xsd:import namespace="a2e9beaf-5c4a-43f8-8edb-1f766478a691"/>
    <xsd:import namespace="74062ae3-8d6b-4a30-9265-9d48ba646f6d"/>
    <xsd:element name="properties">
      <xsd:complexType>
        <xsd:sequence>
          <xsd:element name="documentManagement">
            <xsd:complexType>
              <xsd:all>
                <xsd:element ref="ns2:SharedWithUsers" minOccurs="0"/>
                <xsd:element ref="ns1:URL"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9beaf-5c4a-43f8-8edb-1f766478a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62ae3-8d6b-4a30-9265-9d48ba646f6d"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Business Scenarios"/>
          <xsd:enumeration value="Business Requirements"/>
          <xsd:enumeration value="Functional Requirements"/>
          <xsd:enumeration value="Flow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_x0020_Type xmlns="74062ae3-8d6b-4a30-9265-9d48ba646f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90758-44EE-44A6-BECC-01FAB7D2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9beaf-5c4a-43f8-8edb-1f766478a691"/>
    <ds:schemaRef ds:uri="74062ae3-8d6b-4a30-9265-9d48ba64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E100A-26FE-42A8-BE76-72C121F78C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74062ae3-8d6b-4a30-9265-9d48ba646f6d"/>
    <ds:schemaRef ds:uri="a2e9beaf-5c4a-43f8-8edb-1f766478a691"/>
    <ds:schemaRef ds:uri="http://www.w3.org/XML/1998/namespace"/>
    <ds:schemaRef ds:uri="http://purl.org/dc/dcmitype/"/>
  </ds:schemaRefs>
</ds:datastoreItem>
</file>

<file path=customXml/itemProps3.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4.xml><?xml version="1.0" encoding="utf-8"?>
<ds:datastoreItem xmlns:ds="http://schemas.openxmlformats.org/officeDocument/2006/customXml" ds:itemID="{CC184135-80EA-427D-A5F4-E902B926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A4 portrait template (AFCA Template) - Copy.dotx</Template>
  <TotalTime>9</TotalTime>
  <Pages>6</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EDR Response Guide</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George Dimitriou</dc:creator>
  <cp:keywords/>
  <dc:description/>
  <cp:lastModifiedBy>Hayley Tunnicliffe</cp:lastModifiedBy>
  <cp:revision>4</cp:revision>
  <cp:lastPrinted>2018-09-05T01:59:00Z</cp:lastPrinted>
  <dcterms:created xsi:type="dcterms:W3CDTF">2020-09-24T00:02:00Z</dcterms:created>
  <dcterms:modified xsi:type="dcterms:W3CDTF">2020-09-24T00:14:00Z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0x010100D85B077B317BB34BA2E9F33EF1423692</vt:lpwstr>
  </property>
</Properties>
</file>